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465"/>
        <w:gridCol w:w="1417"/>
      </w:tblGrid>
      <w:tr w:rsidR="00F732A4" w:rsidRPr="00A17564" w:rsidTr="009608D0">
        <w:tc>
          <w:tcPr>
            <w:tcW w:w="993" w:type="dxa"/>
            <w:shd w:val="clear" w:color="auto" w:fill="92D050"/>
            <w:vAlign w:val="center"/>
          </w:tcPr>
          <w:p w:rsidR="004E79C5" w:rsidRPr="00A17564" w:rsidRDefault="004E79C5" w:rsidP="007A3EEB">
            <w:pPr>
              <w:jc w:val="both"/>
              <w:rPr>
                <w:b/>
                <w:lang w:val="ro-RO"/>
              </w:rPr>
            </w:pPr>
            <w:r w:rsidRPr="00A17564">
              <w:rPr>
                <w:b/>
                <w:lang w:val="ro-RO"/>
              </w:rPr>
              <w:t xml:space="preserve">Nr. Crt. </w:t>
            </w:r>
          </w:p>
        </w:tc>
        <w:tc>
          <w:tcPr>
            <w:tcW w:w="7465" w:type="dxa"/>
            <w:shd w:val="clear" w:color="auto" w:fill="92D050"/>
            <w:vAlign w:val="center"/>
          </w:tcPr>
          <w:p w:rsidR="004E79C5" w:rsidRPr="00A17564" w:rsidRDefault="004E79C5" w:rsidP="00FD7DCF">
            <w:pPr>
              <w:jc w:val="center"/>
              <w:rPr>
                <w:b/>
                <w:lang w:val="ro-RO"/>
              </w:rPr>
            </w:pPr>
            <w:r w:rsidRPr="00A17564">
              <w:rPr>
                <w:b/>
                <w:lang w:val="ro-RO"/>
              </w:rPr>
              <w:t xml:space="preserve">Principii de </w:t>
            </w:r>
            <w:proofErr w:type="spellStart"/>
            <w:r w:rsidRPr="00A17564">
              <w:rPr>
                <w:b/>
                <w:lang w:val="ro-RO"/>
              </w:rPr>
              <w:t>selecţie</w:t>
            </w:r>
            <w:proofErr w:type="spellEnd"/>
            <w:r w:rsidRPr="00A17564">
              <w:rPr>
                <w:b/>
                <w:lang w:val="ro-RO"/>
              </w:rPr>
              <w:t xml:space="preserve"> și criterii de selecție</w:t>
            </w:r>
          </w:p>
        </w:tc>
        <w:tc>
          <w:tcPr>
            <w:tcW w:w="1417" w:type="dxa"/>
            <w:shd w:val="clear" w:color="auto" w:fill="92D050"/>
            <w:vAlign w:val="center"/>
          </w:tcPr>
          <w:p w:rsidR="004E79C5" w:rsidRPr="00A17564" w:rsidRDefault="004E79C5" w:rsidP="007A3EEB">
            <w:pPr>
              <w:jc w:val="both"/>
              <w:rPr>
                <w:b/>
                <w:lang w:val="ro-RO"/>
              </w:rPr>
            </w:pPr>
            <w:r w:rsidRPr="00A17564">
              <w:rPr>
                <w:b/>
                <w:lang w:val="ro-RO"/>
              </w:rPr>
              <w:t>Punctaj</w:t>
            </w:r>
          </w:p>
        </w:tc>
      </w:tr>
      <w:tr w:rsidR="00F732A4" w:rsidRPr="00A17564" w:rsidTr="009608D0">
        <w:tc>
          <w:tcPr>
            <w:tcW w:w="993" w:type="dxa"/>
            <w:vMerge w:val="restart"/>
            <w:shd w:val="clear" w:color="auto" w:fill="auto"/>
          </w:tcPr>
          <w:p w:rsidR="004E79C5" w:rsidRPr="00A17564" w:rsidRDefault="00AC3534" w:rsidP="007A3EEB">
            <w:pPr>
              <w:jc w:val="both"/>
              <w:rPr>
                <w:b/>
                <w:lang w:val="ro-RO"/>
              </w:rPr>
            </w:pPr>
            <w:r>
              <w:rPr>
                <w:b/>
                <w:lang w:val="ro-RO"/>
              </w:rPr>
              <w:t xml:space="preserve">P1 </w:t>
            </w:r>
          </w:p>
        </w:tc>
        <w:tc>
          <w:tcPr>
            <w:tcW w:w="7465" w:type="dxa"/>
            <w:shd w:val="clear" w:color="auto" w:fill="FBD4B4"/>
          </w:tcPr>
          <w:p w:rsidR="004E79C5" w:rsidRPr="00A17564" w:rsidRDefault="006D3AD4" w:rsidP="006D3AD4">
            <w:pPr>
              <w:jc w:val="both"/>
              <w:rPr>
                <w:b/>
                <w:lang w:val="ro-RO"/>
              </w:rPr>
            </w:pPr>
            <w:r w:rsidRPr="00A17564">
              <w:rPr>
                <w:b/>
                <w:lang w:val="ro-RO"/>
              </w:rPr>
              <w:t>Principiul produselor</w:t>
            </w:r>
            <w:r w:rsidR="003642DB" w:rsidRPr="00A17564">
              <w:rPr>
                <w:b/>
                <w:lang w:val="ro-RO"/>
              </w:rPr>
              <w:t xml:space="preserve"> cu înaltă valoare </w:t>
            </w:r>
            <w:r w:rsidR="00FD7DCF" w:rsidRPr="00A17564">
              <w:rPr>
                <w:b/>
                <w:lang w:val="ro-RO"/>
              </w:rPr>
              <w:t>adăugată</w:t>
            </w:r>
            <w:r w:rsidRPr="00A17564">
              <w:rPr>
                <w:b/>
                <w:lang w:val="ro-RO"/>
              </w:rPr>
              <w:t xml:space="preserve"> (</w:t>
            </w:r>
            <w:r w:rsidR="0011238B" w:rsidRPr="00A17564">
              <w:rPr>
                <w:b/>
                <w:lang w:val="ro-RO"/>
              </w:rPr>
              <w:t>provenite din zone HNV,</w:t>
            </w:r>
            <w:r w:rsidRPr="00A17564">
              <w:rPr>
                <w:b/>
                <w:lang w:val="ro-RO"/>
              </w:rPr>
              <w:t xml:space="preserve"> </w:t>
            </w:r>
            <w:r w:rsidR="003642DB" w:rsidRPr="00A17564">
              <w:rPr>
                <w:b/>
                <w:lang w:val="ro-RO"/>
              </w:rPr>
              <w:t>scheme de calitate recunoscute național</w:t>
            </w:r>
            <w:r w:rsidRPr="00A17564">
              <w:rPr>
                <w:b/>
                <w:lang w:val="ro-RO"/>
              </w:rPr>
              <w:t>e și</w:t>
            </w:r>
            <w:r w:rsidR="003642DB" w:rsidRPr="00A17564">
              <w:rPr>
                <w:b/>
                <w:lang w:val="ro-RO"/>
              </w:rPr>
              <w:t xml:space="preserve"> europe</w:t>
            </w:r>
            <w:r w:rsidRPr="00A17564">
              <w:rPr>
                <w:b/>
                <w:lang w:val="ro-RO"/>
              </w:rPr>
              <w:t>ne</w:t>
            </w:r>
            <w:r w:rsidR="003642DB" w:rsidRPr="00A17564">
              <w:rPr>
                <w:b/>
                <w:lang w:val="ro-RO"/>
              </w:rPr>
              <w:t>)</w:t>
            </w:r>
          </w:p>
        </w:tc>
        <w:tc>
          <w:tcPr>
            <w:tcW w:w="1417" w:type="dxa"/>
            <w:shd w:val="clear" w:color="auto" w:fill="FBD4B4"/>
          </w:tcPr>
          <w:p w:rsidR="003642DB" w:rsidRPr="00A17564" w:rsidRDefault="003642DB" w:rsidP="007A3EEB">
            <w:pPr>
              <w:jc w:val="both"/>
              <w:rPr>
                <w:b/>
                <w:lang w:val="ro-RO"/>
              </w:rPr>
            </w:pPr>
            <w:r w:rsidRPr="00A17564">
              <w:rPr>
                <w:b/>
                <w:lang w:val="ro-RO"/>
              </w:rPr>
              <w:t>Maxim 20 p</w:t>
            </w:r>
          </w:p>
          <w:p w:rsidR="004E79C5" w:rsidRPr="00A17564" w:rsidRDefault="004E79C5" w:rsidP="007A3EEB">
            <w:pPr>
              <w:jc w:val="both"/>
              <w:rPr>
                <w:b/>
                <w:lang w:val="ro-RO"/>
              </w:rPr>
            </w:pPr>
          </w:p>
        </w:tc>
      </w:tr>
      <w:tr w:rsidR="00F732A4" w:rsidRPr="00A17564" w:rsidTr="009608D0">
        <w:tc>
          <w:tcPr>
            <w:tcW w:w="993" w:type="dxa"/>
            <w:vMerge/>
            <w:shd w:val="clear" w:color="auto" w:fill="auto"/>
          </w:tcPr>
          <w:p w:rsidR="004E79C5" w:rsidRPr="00A17564" w:rsidRDefault="004E79C5" w:rsidP="007A3EEB">
            <w:pPr>
              <w:jc w:val="both"/>
              <w:rPr>
                <w:lang w:val="ro-RO"/>
              </w:rPr>
            </w:pPr>
          </w:p>
        </w:tc>
        <w:tc>
          <w:tcPr>
            <w:tcW w:w="7465" w:type="dxa"/>
            <w:shd w:val="clear" w:color="auto" w:fill="auto"/>
          </w:tcPr>
          <w:p w:rsidR="003642DB" w:rsidRPr="00A17564" w:rsidRDefault="003642DB" w:rsidP="007A3EEB">
            <w:pPr>
              <w:numPr>
                <w:ilvl w:val="1"/>
                <w:numId w:val="4"/>
              </w:numPr>
              <w:shd w:val="clear" w:color="auto" w:fill="FFE599" w:themeFill="accent4" w:themeFillTint="66"/>
              <w:jc w:val="both"/>
              <w:rPr>
                <w:lang w:val="ro-RO"/>
              </w:rPr>
            </w:pPr>
            <w:r w:rsidRPr="00A17564">
              <w:rPr>
                <w:lang w:val="ro-RO"/>
              </w:rPr>
              <w:t>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Pr="00A17564">
              <w:rPr>
                <w:i/>
                <w:lang w:val="ro-RO"/>
              </w:rPr>
              <w:t>”</w:t>
            </w:r>
            <w:r w:rsidR="001A1116" w:rsidRPr="00A17564">
              <w:rPr>
                <w:i/>
                <w:lang w:val="ro-RO"/>
              </w:rPr>
              <w:t>/</w:t>
            </w:r>
            <w:r w:rsidR="001A1116" w:rsidRPr="00A17564">
              <w:rPr>
                <w:lang w:val="ro-RO"/>
              </w:rPr>
              <w:t>produse provenite din zone HNV</w:t>
            </w:r>
          </w:p>
          <w:p w:rsidR="003642DB" w:rsidRPr="00A17564" w:rsidRDefault="003642DB" w:rsidP="007A3EEB">
            <w:pPr>
              <w:jc w:val="both"/>
              <w:rPr>
                <w:lang w:val="ro-RO"/>
              </w:rPr>
            </w:pPr>
            <w:r w:rsidRPr="00A17564">
              <w:rPr>
                <w:lang w:val="ro-RO"/>
              </w:rPr>
              <w:t xml:space="preserve">Pentru produsele alimentare care au obținut recunoașterea la nivel european, proiectele vor fi punctate în urma verificării în baza de date a </w:t>
            </w:r>
            <w:proofErr w:type="spellStart"/>
            <w:r w:rsidRPr="00A17564">
              <w:rPr>
                <w:lang w:val="ro-RO"/>
              </w:rPr>
              <w:t>eAmbrosia</w:t>
            </w:r>
            <w:proofErr w:type="spellEnd"/>
            <w:r w:rsidRPr="00A17564">
              <w:rPr>
                <w:lang w:val="ro-RO"/>
              </w:rPr>
              <w:t xml:space="preserve"> a Comisiei Europene care produsul vizat trebuie să fie menționat ca ʺînregistratʺ.</w:t>
            </w:r>
          </w:p>
          <w:p w:rsidR="003642DB" w:rsidRPr="00A17564" w:rsidRDefault="003642DB" w:rsidP="007A3EEB">
            <w:pPr>
              <w:jc w:val="both"/>
              <w:rPr>
                <w:lang w:val="ro-RO"/>
              </w:rPr>
            </w:pPr>
            <w:r w:rsidRPr="00A17564">
              <w:rPr>
                <w:lang w:val="ro-RO"/>
              </w:rPr>
              <w:t xml:space="preserve">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cu respectarea prevederilor legislației europene și naționale în vigoare privind sistemele din domeniul </w:t>
            </w:r>
            <w:proofErr w:type="spellStart"/>
            <w:r w:rsidRPr="00A17564">
              <w:rPr>
                <w:lang w:val="ro-RO"/>
              </w:rPr>
              <w:t>calităţii</w:t>
            </w:r>
            <w:proofErr w:type="spellEnd"/>
            <w:r w:rsidRPr="00A17564">
              <w:rPr>
                <w:lang w:val="ro-RO"/>
              </w:rPr>
              <w:t xml:space="preserve"> produselor agricole </w:t>
            </w:r>
            <w:proofErr w:type="spellStart"/>
            <w:r w:rsidRPr="00A17564">
              <w:rPr>
                <w:lang w:val="ro-RO"/>
              </w:rPr>
              <w:t>şi</w:t>
            </w:r>
            <w:proofErr w:type="spellEnd"/>
            <w:r w:rsidRPr="00A17564">
              <w:rPr>
                <w:lang w:val="ro-RO"/>
              </w:rPr>
              <w:t xml:space="preserve"> alimentare.</w:t>
            </w:r>
          </w:p>
          <w:p w:rsidR="003642DB" w:rsidRPr="00A17564" w:rsidRDefault="003642DB" w:rsidP="007A3EEB">
            <w:pPr>
              <w:jc w:val="both"/>
              <w:rPr>
                <w:lang w:val="ro-RO"/>
              </w:rPr>
            </w:pPr>
            <w:r w:rsidRPr="00A17564">
              <w:rPr>
                <w:lang w:val="ro-RO"/>
              </w:rPr>
              <w:t>În plus, solicitanții respectă mențiunile din caietul de sarcini pentru sistemul de calitate vizat, iar produsul este înregistrat în Registrul Sistemelor din Domeniul Calității Protejate Național (RSCPN) – produse alimentare altele decât vinul, și este menționat în baza de date e-</w:t>
            </w:r>
            <w:proofErr w:type="spellStart"/>
            <w:r w:rsidRPr="00A17564">
              <w:rPr>
                <w:lang w:val="ro-RO"/>
              </w:rPr>
              <w:t>Ambrosia</w:t>
            </w:r>
            <w:proofErr w:type="spellEnd"/>
            <w:r w:rsidRPr="00A17564">
              <w:rPr>
                <w:lang w:val="ro-RO"/>
              </w:rPr>
              <w:t xml:space="preserve"> ca ”depus” sau ”publicat”. La depunerea cererii de finanțare solicitantul se va angaja că, în urma implementării proiectului,  va obține un produs care participă la sisteme din domeniul calității recunoscute la nivel european.</w:t>
            </w:r>
          </w:p>
          <w:p w:rsidR="003642DB" w:rsidRPr="00A17564" w:rsidRDefault="003642DB" w:rsidP="007A3EEB">
            <w:pPr>
              <w:jc w:val="both"/>
              <w:rPr>
                <w:lang w:val="ro-RO"/>
              </w:rPr>
            </w:pPr>
            <w:r w:rsidRPr="00A17564">
              <w:rPr>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menționării în baza de date e-</w:t>
            </w:r>
            <w:proofErr w:type="spellStart"/>
            <w:r w:rsidRPr="00A17564">
              <w:rPr>
                <w:lang w:val="ro-RO"/>
              </w:rPr>
              <w:t>Ambrosia</w:t>
            </w:r>
            <w:proofErr w:type="spellEnd"/>
            <w:r w:rsidRPr="00A17564">
              <w:rPr>
                <w:lang w:val="ro-RO"/>
              </w:rPr>
              <w:t xml:space="preserve"> ca ”depus” sau ”publicat”. La depunerea cererii de finanțare, solicitantul se va angaja că, în urma implementării proiectului,</w:t>
            </w:r>
            <w:r w:rsidR="00B067D4" w:rsidRPr="00A17564">
              <w:rPr>
                <w:lang w:val="ro-RO"/>
              </w:rPr>
              <w:t xml:space="preserve"> </w:t>
            </w:r>
            <w:r w:rsidRPr="00A17564">
              <w:rPr>
                <w:lang w:val="ro-RO"/>
              </w:rPr>
              <w:t>va</w:t>
            </w:r>
            <w:r w:rsidR="00B067D4" w:rsidRPr="00A17564">
              <w:rPr>
                <w:lang w:val="ro-RO"/>
              </w:rPr>
              <w:t xml:space="preserve"> </w:t>
            </w:r>
            <w:r w:rsidRPr="00A17564">
              <w:rPr>
                <w:lang w:val="ro-RO"/>
              </w:rPr>
              <w:t>obține un produs care participă la sisteme din domeniul calității recunoscute la nivel european.</w:t>
            </w:r>
          </w:p>
          <w:p w:rsidR="003642DB" w:rsidRPr="00A17564" w:rsidRDefault="003642DB" w:rsidP="007A3EEB">
            <w:pPr>
              <w:jc w:val="both"/>
              <w:rPr>
                <w:lang w:val="ro-RO"/>
              </w:rPr>
            </w:pPr>
            <w:r w:rsidRPr="00A17564">
              <w:rPr>
                <w:lang w:val="ro-RO"/>
              </w:rPr>
              <w:t xml:space="preserve">Proiectele care vizează obținerea produselor alimentare care utilizează mențiunea de calitate facultativă ”produs montan”, precum și cele care vizează obținerea unor produse în curs de dobândire a dreptului de utilizare a mențiunii de calitate facultativă ”produs montan” vor fi punctate  în condițiile respectării prevederilor </w:t>
            </w:r>
            <w:r w:rsidRPr="00A17564">
              <w:rPr>
                <w:lang w:val="ro-RO"/>
              </w:rPr>
              <w:lastRenderedPageBreak/>
              <w:t xml:space="preserve">Ordinului nr. 52 din 3 martie 2017 privind aprobarea Procedurii de verificare a </w:t>
            </w:r>
            <w:proofErr w:type="spellStart"/>
            <w:r w:rsidRPr="00A17564">
              <w:rPr>
                <w:lang w:val="ro-RO"/>
              </w:rPr>
              <w:t>conformităţii</w:t>
            </w:r>
            <w:proofErr w:type="spellEnd"/>
            <w:r w:rsidRPr="00A17564">
              <w:rPr>
                <w:lang w:val="ro-RO"/>
              </w:rPr>
              <w:t xml:space="preserve"> datelor cuprinse în caietul de sarcini în vederea acordării dreptului de utilizare a </w:t>
            </w:r>
            <w:proofErr w:type="spellStart"/>
            <w:r w:rsidRPr="00A17564">
              <w:rPr>
                <w:lang w:val="ro-RO"/>
              </w:rPr>
              <w:t>menţiunii</w:t>
            </w:r>
            <w:proofErr w:type="spellEnd"/>
            <w:r w:rsidRPr="00A17564">
              <w:rPr>
                <w:lang w:val="ro-RO"/>
              </w:rPr>
              <w:t xml:space="preserve"> de calitate facultative "produs montan" </w:t>
            </w:r>
            <w:proofErr w:type="spellStart"/>
            <w:r w:rsidRPr="00A17564">
              <w:rPr>
                <w:lang w:val="ro-RO"/>
              </w:rPr>
              <w:t>şi</w:t>
            </w:r>
            <w:proofErr w:type="spellEnd"/>
            <w:r w:rsidRPr="00A17564">
              <w:rPr>
                <w:lang w:val="ro-RO"/>
              </w:rPr>
              <w:t xml:space="preserve"> de verificare a respectării </w:t>
            </w:r>
            <w:proofErr w:type="spellStart"/>
            <w:r w:rsidRPr="00A17564">
              <w:rPr>
                <w:lang w:val="ro-RO"/>
              </w:rPr>
              <w:t>legislaţiei</w:t>
            </w:r>
            <w:proofErr w:type="spellEnd"/>
            <w:r w:rsidRPr="00A17564">
              <w:rPr>
                <w:lang w:val="ro-RO"/>
              </w:rPr>
              <w:t xml:space="preserve"> europene </w:t>
            </w:r>
            <w:proofErr w:type="spellStart"/>
            <w:r w:rsidRPr="00A17564">
              <w:rPr>
                <w:lang w:val="ro-RO"/>
              </w:rPr>
              <w:t>şi</w:t>
            </w:r>
            <w:proofErr w:type="spellEnd"/>
            <w:r w:rsidRPr="00A17564">
              <w:rPr>
                <w:lang w:val="ro-RO"/>
              </w:rPr>
              <w:t xml:space="preserve"> </w:t>
            </w:r>
            <w:proofErr w:type="spellStart"/>
            <w:r w:rsidRPr="00A17564">
              <w:rPr>
                <w:lang w:val="ro-RO"/>
              </w:rPr>
              <w:t>naţionale</w:t>
            </w:r>
            <w:proofErr w:type="spellEnd"/>
            <w:r w:rsidRPr="00A17564">
              <w:rPr>
                <w:lang w:val="ro-RO"/>
              </w:rPr>
              <w:t xml:space="preserve"> de către operatorii economici care au </w:t>
            </w:r>
            <w:proofErr w:type="spellStart"/>
            <w:r w:rsidRPr="00A17564">
              <w:rPr>
                <w:lang w:val="ro-RO"/>
              </w:rPr>
              <w:t>obţinut</w:t>
            </w:r>
            <w:proofErr w:type="spellEnd"/>
            <w:r w:rsidRPr="00A17564">
              <w:rPr>
                <w:lang w:val="ro-RO"/>
              </w:rPr>
              <w:t xml:space="preserve"> dreptul de utilizare a respectivei </w:t>
            </w:r>
            <w:proofErr w:type="spellStart"/>
            <w:r w:rsidRPr="00A17564">
              <w:rPr>
                <w:lang w:val="ro-RO"/>
              </w:rPr>
              <w:t>menţiuni</w:t>
            </w:r>
            <w:proofErr w:type="spellEnd"/>
            <w:r w:rsidRPr="00A17564">
              <w:rPr>
                <w:lang w:val="ro-RO"/>
              </w:rPr>
              <w:t>, cu precizarea că zona montană aplicabilă este cea din Anexa 3 la ghidul solicitantului</w:t>
            </w:r>
          </w:p>
          <w:p w:rsidR="003642DB" w:rsidRPr="00A17564" w:rsidRDefault="003642DB" w:rsidP="007A3EEB">
            <w:pPr>
              <w:jc w:val="both"/>
              <w:rPr>
                <w:lang w:val="ro-RO"/>
              </w:rPr>
            </w:pPr>
            <w:r w:rsidRPr="00A17564">
              <w:rPr>
                <w:lang w:val="ro-RO"/>
              </w:rPr>
              <w:t>Pentru produsele care dețin deja mențiunea de calitate facultativă ”produs montan”, se vor puncta proiectele depuse de solicitanți care vizează obținerea produselor alimentare care se regăsesc în Registrul național al produselor montane publicat pe site-ul www.azm.gov.ro.</w:t>
            </w:r>
          </w:p>
          <w:p w:rsidR="003642DB" w:rsidRPr="00A17564" w:rsidRDefault="003642DB" w:rsidP="007A3EEB">
            <w:pPr>
              <w:jc w:val="both"/>
              <w:rPr>
                <w:lang w:val="ro-RO"/>
              </w:rPr>
            </w:pPr>
            <w:r w:rsidRPr="00A17564">
              <w:rPr>
                <w:lang w:val="ro-RO"/>
              </w:rPr>
              <w:t>Pentru produsele noi, pentru care se dorește obținerea recunoașterii dreptului de utilizare a mențiunii facultative de ”produs montan”, proiectele vor fi punctate pe baza Avizului ANZM și a angajamentului din cererea de finanțare că vor obține un produs care participă la sisteme din domeniul calității recunoscute la nivel european (unde este încadrat și produsul montan).</w:t>
            </w:r>
          </w:p>
          <w:p w:rsidR="003642DB" w:rsidRPr="00A17564" w:rsidRDefault="003642DB" w:rsidP="007A3EEB">
            <w:pPr>
              <w:jc w:val="both"/>
              <w:rPr>
                <w:lang w:val="ro-RO"/>
              </w:rPr>
            </w:pPr>
            <w:r w:rsidRPr="00A17564">
              <w:rPr>
                <w:lang w:val="ro-RO"/>
              </w:rPr>
              <w:t>Cel puțin unul din tipurile de produse obținute trebuie să dețină mențiunea de calitate facultativă ”produs montan”, iar acesta trebuie să se regăsească în categoria produselor vândute, după finalizarea proiectului, conform previziunilor economice din cadrul Studiului de Fezabilitate , iar documentele care atestă acest aspect vor fi verificate la finalul primului an de monitorizare.</w:t>
            </w:r>
          </w:p>
          <w:p w:rsidR="001A1116" w:rsidRPr="00A17564" w:rsidRDefault="001A1116" w:rsidP="001A1116">
            <w:pPr>
              <w:jc w:val="both"/>
              <w:rPr>
                <w:lang w:val="ro-RO"/>
              </w:rPr>
            </w:pPr>
            <w:r w:rsidRPr="00A17564">
              <w:rPr>
                <w:lang w:val="ro-RO"/>
              </w:rPr>
              <w:t>În cazul produselor provenite din zonele HNV, se vor puncta proiectele care vizează utilizarea materiei prime din zonele HNV (se regăsesc în Lista UAT-urilor eligibile pentru pachetele 1 si 2 aferente măsurii 10 a PNDR, anexa 8 a ghidului).</w:t>
            </w:r>
          </w:p>
        </w:tc>
        <w:tc>
          <w:tcPr>
            <w:tcW w:w="1417" w:type="dxa"/>
            <w:shd w:val="clear" w:color="auto" w:fill="auto"/>
          </w:tcPr>
          <w:p w:rsidR="004E79C5" w:rsidRPr="00A17564" w:rsidRDefault="003642DB" w:rsidP="00A25B76">
            <w:pPr>
              <w:jc w:val="center"/>
              <w:rPr>
                <w:lang w:val="ro-RO"/>
              </w:rPr>
            </w:pPr>
            <w:r w:rsidRPr="00A17564">
              <w:rPr>
                <w:b/>
                <w:lang w:val="ro-RO"/>
              </w:rPr>
              <w:lastRenderedPageBreak/>
              <w:t>10 p.</w:t>
            </w:r>
          </w:p>
        </w:tc>
      </w:tr>
      <w:tr w:rsidR="00F732A4" w:rsidRPr="00A17564" w:rsidTr="009608D0">
        <w:tc>
          <w:tcPr>
            <w:tcW w:w="993" w:type="dxa"/>
            <w:vMerge/>
            <w:shd w:val="clear" w:color="auto" w:fill="auto"/>
          </w:tcPr>
          <w:p w:rsidR="004E79C5" w:rsidRPr="00A17564" w:rsidRDefault="004E79C5" w:rsidP="007A3EEB">
            <w:pPr>
              <w:jc w:val="both"/>
              <w:rPr>
                <w:lang w:val="ro-RO"/>
              </w:rPr>
            </w:pPr>
          </w:p>
        </w:tc>
        <w:tc>
          <w:tcPr>
            <w:tcW w:w="7465" w:type="dxa"/>
            <w:shd w:val="clear" w:color="auto" w:fill="auto"/>
          </w:tcPr>
          <w:p w:rsidR="003642DB" w:rsidRPr="00A17564" w:rsidRDefault="003642DB" w:rsidP="00EC588C">
            <w:pPr>
              <w:numPr>
                <w:ilvl w:val="1"/>
                <w:numId w:val="4"/>
              </w:numPr>
              <w:shd w:val="clear" w:color="auto" w:fill="FFE599" w:themeFill="accent4" w:themeFillTint="66"/>
              <w:spacing w:line="240" w:lineRule="auto"/>
              <w:jc w:val="both"/>
              <w:rPr>
                <w:b/>
                <w:i/>
                <w:lang w:val="ro-RO"/>
              </w:rPr>
            </w:pPr>
            <w:r w:rsidRPr="00A17564">
              <w:rPr>
                <w:b/>
                <w:lang w:val="ro-RO"/>
              </w:rPr>
              <w:t xml:space="preserve">Proiecte care promovează investiții destinate produselor care participă la sisteme din domeniul calității produselor agricole și alimentare recunoscute la nivel național </w:t>
            </w:r>
            <w:r w:rsidRPr="00A17564">
              <w:rPr>
                <w:b/>
                <w:i/>
                <w:lang w:val="ro-RO"/>
              </w:rPr>
              <w:t>(produse tradiționale,</w:t>
            </w:r>
            <w:r w:rsidRPr="00A17564">
              <w:rPr>
                <w:b/>
                <w:bCs/>
                <w:i/>
                <w:iCs/>
                <w:lang w:val="ro-RO"/>
              </w:rPr>
              <w:t xml:space="preserve"> precum și produse* alimentare marcate cu mențiunea </w:t>
            </w:r>
            <w:r w:rsidRPr="00A17564">
              <w:rPr>
                <w:b/>
                <w:i/>
                <w:lang w:val="ro-RO"/>
              </w:rPr>
              <w:t xml:space="preserve"> rețetă consacrată, </w:t>
            </w:r>
            <w:r w:rsidR="004802C8" w:rsidRPr="00A17564">
              <w:rPr>
                <w:b/>
                <w:i/>
                <w:lang w:val="ro-RO"/>
              </w:rPr>
              <w:t xml:space="preserve">produse de calitate garantată, </w:t>
            </w:r>
            <w:r w:rsidRPr="00A17564">
              <w:rPr>
                <w:b/>
                <w:i/>
                <w:lang w:val="ro-RO"/>
              </w:rPr>
              <w:t xml:space="preserve">calitate </w:t>
            </w:r>
            <w:proofErr w:type="spellStart"/>
            <w:r w:rsidRPr="00A17564">
              <w:rPr>
                <w:b/>
                <w:i/>
                <w:lang w:val="ro-RO"/>
              </w:rPr>
              <w:t>premium</w:t>
            </w:r>
            <w:proofErr w:type="spellEnd"/>
            <w:r w:rsidRPr="00A17564">
              <w:rPr>
                <w:b/>
                <w:i/>
                <w:lang w:val="ro-RO"/>
              </w:rPr>
              <w:t>)</w:t>
            </w:r>
          </w:p>
          <w:p w:rsidR="003642DB" w:rsidRPr="00A17564" w:rsidRDefault="003642DB" w:rsidP="00EC588C">
            <w:pPr>
              <w:spacing w:line="240" w:lineRule="auto"/>
              <w:jc w:val="both"/>
              <w:rPr>
                <w:lang w:val="ro-RO"/>
              </w:rPr>
            </w:pPr>
            <w:r w:rsidRPr="00A17564">
              <w:rPr>
                <w:lang w:val="ro-RO"/>
              </w:rPr>
              <w:t xml:space="preserve">Proiectele vor fi punctate în condițiile respectării prevederilor Ordinului nr. 724/1.082/360/2013 privind atestarea produselor </w:t>
            </w:r>
            <w:proofErr w:type="spellStart"/>
            <w:r w:rsidRPr="00A17564">
              <w:rPr>
                <w:lang w:val="ro-RO"/>
              </w:rPr>
              <w:t>tradiţionale</w:t>
            </w:r>
            <w:proofErr w:type="spellEnd"/>
            <w:r w:rsidRPr="00A17564">
              <w:rPr>
                <w:lang w:val="ro-RO"/>
              </w:rPr>
              <w:t xml:space="preserve"> cu modificările și completările ulterioare și a angajamentului luat la depunerea cererii de finanțare că, ulterior implementării proiectului se va obține un produs care va fi atestat ca produs tradițional.</w:t>
            </w:r>
          </w:p>
          <w:p w:rsidR="003642DB" w:rsidRPr="00B446F8" w:rsidRDefault="003642DB" w:rsidP="00EC588C">
            <w:pPr>
              <w:spacing w:line="240" w:lineRule="auto"/>
              <w:jc w:val="both"/>
              <w:rPr>
                <w:lang w:val="ro-RO"/>
              </w:rPr>
            </w:pPr>
            <w:r w:rsidRPr="00A17564">
              <w:rPr>
                <w:lang w:val="ro-RO"/>
              </w:rPr>
              <w:t xml:space="preserve">Cel puțin unul din tipurile de produse obținute trebuie să fie tradițional, iar acesta </w:t>
            </w:r>
            <w:r w:rsidRPr="00B446F8">
              <w:rPr>
                <w:lang w:val="ro-RO"/>
              </w:rPr>
              <w:t>trebuie să se regăsească în categoria produselor vândute, după finalizarea proiectului, conform previziunilor economice din cadrul Studiului de Fezabilitate, iar  documentele care atestă acest aspect vor fi verificate la finalul primului an de monitorizare .</w:t>
            </w:r>
          </w:p>
          <w:p w:rsidR="004E79C5" w:rsidRPr="00B446F8" w:rsidRDefault="00B446F8" w:rsidP="00EC588C">
            <w:pPr>
              <w:spacing w:line="240" w:lineRule="auto"/>
              <w:jc w:val="both"/>
              <w:rPr>
                <w:rFonts w:ascii="Calibri" w:hAnsi="Calibri" w:cs="Calibri"/>
                <w:b/>
                <w:i/>
                <w:sz w:val="24"/>
                <w:szCs w:val="24"/>
                <w:lang w:val="ro-RO"/>
              </w:rPr>
            </w:pPr>
            <w:r w:rsidRPr="00B446F8">
              <w:rPr>
                <w:rFonts w:ascii="Calibri" w:hAnsi="Calibri" w:cs="Calibri"/>
                <w:i/>
                <w:sz w:val="24"/>
                <w:szCs w:val="24"/>
                <w:lang w:val="ro-RO"/>
              </w:rPr>
              <w:t xml:space="preserve">*Pentru sesiunea 2021, proiectele care prevăd investiții pentru obținerea de produse alimentare marcate cu mențiuni conform schemelor de calitate </w:t>
            </w:r>
            <w:r w:rsidRPr="00B446F8">
              <w:rPr>
                <w:rFonts w:ascii="Calibri" w:hAnsi="Calibri" w:cs="Calibri"/>
                <w:i/>
                <w:sz w:val="24"/>
                <w:szCs w:val="24"/>
                <w:lang w:val="ro-RO"/>
              </w:rPr>
              <w:lastRenderedPageBreak/>
              <w:t xml:space="preserve">naționale notificate la Comisia Europeană (rețete consacrate românești, produse de calitate garantată, calitate </w:t>
            </w:r>
            <w:proofErr w:type="spellStart"/>
            <w:r w:rsidRPr="00B446F8">
              <w:rPr>
                <w:rFonts w:ascii="Calibri" w:hAnsi="Calibri" w:cs="Calibri"/>
                <w:i/>
                <w:sz w:val="24"/>
                <w:szCs w:val="24"/>
                <w:lang w:val="ro-RO"/>
              </w:rPr>
              <w:t>premium</w:t>
            </w:r>
            <w:proofErr w:type="spellEnd"/>
            <w:r w:rsidRPr="00B446F8">
              <w:rPr>
                <w:rFonts w:ascii="Calibri" w:hAnsi="Calibri" w:cs="Calibri"/>
                <w:i/>
                <w:sz w:val="24"/>
                <w:szCs w:val="24"/>
                <w:lang w:val="ro-RO"/>
              </w:rPr>
              <w:t>, porc crescut în bunăstare) pot obține punctaj în cadrul criteriului de selecție dacă la momentul lansării sesiunii de depunere proiecte,  schemele respective sunt aprobate și publicate în Monitorul Oficial.</w:t>
            </w:r>
          </w:p>
        </w:tc>
        <w:tc>
          <w:tcPr>
            <w:tcW w:w="1417" w:type="dxa"/>
            <w:shd w:val="clear" w:color="auto" w:fill="FFFFFF" w:themeFill="background1"/>
          </w:tcPr>
          <w:p w:rsidR="003642DB" w:rsidRPr="00A17564" w:rsidRDefault="003642DB" w:rsidP="00F253C4">
            <w:pPr>
              <w:jc w:val="center"/>
              <w:rPr>
                <w:b/>
                <w:lang w:val="ro-RO"/>
              </w:rPr>
            </w:pPr>
            <w:r w:rsidRPr="00A17564">
              <w:rPr>
                <w:b/>
                <w:lang w:val="ro-RO"/>
              </w:rPr>
              <w:lastRenderedPageBreak/>
              <w:t>5 p.</w:t>
            </w:r>
          </w:p>
          <w:p w:rsidR="004E79C5" w:rsidRPr="00A17564" w:rsidDel="002C42B8" w:rsidRDefault="004E79C5" w:rsidP="007A3EEB">
            <w:pPr>
              <w:jc w:val="both"/>
              <w:rPr>
                <w:lang w:val="ro-RO"/>
              </w:rPr>
            </w:pPr>
          </w:p>
        </w:tc>
      </w:tr>
      <w:tr w:rsidR="00F732A4" w:rsidRPr="00A17564" w:rsidTr="003642DB">
        <w:trPr>
          <w:trHeight w:val="1160"/>
        </w:trPr>
        <w:tc>
          <w:tcPr>
            <w:tcW w:w="993" w:type="dxa"/>
            <w:vMerge/>
            <w:shd w:val="clear" w:color="auto" w:fill="auto"/>
          </w:tcPr>
          <w:p w:rsidR="004E79C5" w:rsidRPr="00A17564" w:rsidRDefault="004E79C5" w:rsidP="007A3EEB">
            <w:pPr>
              <w:jc w:val="both"/>
              <w:rPr>
                <w:lang w:val="ro-RO"/>
              </w:rPr>
            </w:pPr>
          </w:p>
        </w:tc>
        <w:tc>
          <w:tcPr>
            <w:tcW w:w="7465" w:type="dxa"/>
            <w:shd w:val="clear" w:color="auto" w:fill="auto"/>
          </w:tcPr>
          <w:p w:rsidR="003642DB" w:rsidRPr="00A17564" w:rsidRDefault="003642DB" w:rsidP="007A3EEB">
            <w:pPr>
              <w:numPr>
                <w:ilvl w:val="1"/>
                <w:numId w:val="4"/>
              </w:numPr>
              <w:shd w:val="clear" w:color="auto" w:fill="FFE599" w:themeFill="accent4" w:themeFillTint="66"/>
              <w:jc w:val="both"/>
              <w:rPr>
                <w:b/>
                <w:lang w:val="ro-RO"/>
              </w:rPr>
            </w:pPr>
            <w:r w:rsidRPr="00A17564">
              <w:rPr>
                <w:b/>
                <w:lang w:val="ro-RO"/>
              </w:rPr>
              <w:t>Proiecte care promovează investiții destinate produselor ecologice</w:t>
            </w:r>
          </w:p>
          <w:p w:rsidR="003642DB" w:rsidRDefault="003642DB" w:rsidP="00A62128">
            <w:pPr>
              <w:jc w:val="both"/>
              <w:rPr>
                <w:lang w:val="ro-RO"/>
              </w:rPr>
            </w:pPr>
            <w:r w:rsidRPr="00A17564">
              <w:rPr>
                <w:lang w:val="ro-RO"/>
              </w:rPr>
              <w:t xml:space="preserve">În cazul proiectelor care propun investiții  </w:t>
            </w:r>
            <w:r w:rsidR="00A62128">
              <w:rPr>
                <w:lang w:val="ro-RO"/>
              </w:rPr>
              <w:t xml:space="preserve">de procesare </w:t>
            </w:r>
            <w:r w:rsidRPr="00A17564">
              <w:rPr>
                <w:lang w:val="ro-RO"/>
              </w:rPr>
              <w:t xml:space="preserve">destinate produselor ecologice, acestea se vor puncta </w:t>
            </w:r>
            <w:r w:rsidR="00F80F2F" w:rsidRPr="00A17564">
              <w:rPr>
                <w:lang w:val="ro-RO"/>
              </w:rPr>
              <w:t>proporțional</w:t>
            </w:r>
            <w:r w:rsidRPr="00A17564">
              <w:rPr>
                <w:lang w:val="ro-RO"/>
              </w:rPr>
              <w:t xml:space="preserve"> cu cantitatea de  produs obținut în urma procesării pe linia tehnologică deținută/propusă prin proiect, în total producție.</w:t>
            </w:r>
          </w:p>
          <w:p w:rsidR="00A62128" w:rsidRDefault="00A62128" w:rsidP="00A62128">
            <w:pPr>
              <w:jc w:val="both"/>
              <w:rPr>
                <w:lang w:val="ro-RO"/>
              </w:rPr>
            </w:pPr>
            <w:r>
              <w:rPr>
                <w:lang w:val="ro-RO"/>
              </w:rPr>
              <w:t>În cazul proiectelor care propun alte investiții decât procesarea (de exemplu condiționare), c</w:t>
            </w:r>
            <w:r w:rsidRPr="00A17564">
              <w:rPr>
                <w:lang w:val="ro-RO"/>
              </w:rPr>
              <w:t xml:space="preserve">el puțin unul din tipurile de produse trebuie să fie </w:t>
            </w:r>
            <w:r>
              <w:rPr>
                <w:lang w:val="ro-RO"/>
              </w:rPr>
              <w:t>ecologice</w:t>
            </w:r>
            <w:r w:rsidRPr="00A17564">
              <w:rPr>
                <w:lang w:val="ro-RO"/>
              </w:rPr>
              <w:t>, iar acesta trebuie să se regăsească în categoria produselor vândute, după finalizarea proiectului, conform previziunilor economice din c</w:t>
            </w:r>
            <w:r>
              <w:rPr>
                <w:lang w:val="ro-RO"/>
              </w:rPr>
              <w:t>adrul Studiului de Fezabilitate.</w:t>
            </w:r>
          </w:p>
          <w:p w:rsidR="00A62128" w:rsidRPr="00A17564" w:rsidRDefault="00A62128" w:rsidP="00A62128">
            <w:pPr>
              <w:jc w:val="both"/>
              <w:rPr>
                <w:lang w:val="ro-RO"/>
              </w:rPr>
            </w:pPr>
            <w:r>
              <w:rPr>
                <w:lang w:val="ro-RO"/>
              </w:rPr>
              <w:t>D</w:t>
            </w:r>
            <w:r w:rsidRPr="00A17564">
              <w:rPr>
                <w:lang w:val="ro-RO"/>
              </w:rPr>
              <w:t>ocumentele care atestă acest</w:t>
            </w:r>
            <w:r>
              <w:rPr>
                <w:lang w:val="ro-RO"/>
              </w:rPr>
              <w:t>e</w:t>
            </w:r>
            <w:r w:rsidRPr="00A17564">
              <w:rPr>
                <w:lang w:val="ro-RO"/>
              </w:rPr>
              <w:t xml:space="preserve"> aspect</w:t>
            </w:r>
            <w:r>
              <w:rPr>
                <w:lang w:val="ro-RO"/>
              </w:rPr>
              <w:t>e</w:t>
            </w:r>
            <w:r w:rsidRPr="00A17564">
              <w:rPr>
                <w:lang w:val="ro-RO"/>
              </w:rPr>
              <w:t xml:space="preserve"> vor fi verificate la finalul primului an d</w:t>
            </w:r>
            <w:r>
              <w:rPr>
                <w:lang w:val="ro-RO"/>
              </w:rPr>
              <w:t>e monitorizare</w:t>
            </w:r>
            <w:r w:rsidRPr="00A17564">
              <w:rPr>
                <w:lang w:val="ro-RO"/>
              </w:rPr>
              <w:t>.</w:t>
            </w:r>
          </w:p>
        </w:tc>
        <w:tc>
          <w:tcPr>
            <w:tcW w:w="1417" w:type="dxa"/>
            <w:shd w:val="clear" w:color="auto" w:fill="auto"/>
          </w:tcPr>
          <w:p w:rsidR="004E79C5" w:rsidRPr="00A17564" w:rsidDel="002C42B8" w:rsidRDefault="003642DB" w:rsidP="00F253C4">
            <w:pPr>
              <w:jc w:val="center"/>
              <w:rPr>
                <w:lang w:val="ro-RO"/>
              </w:rPr>
            </w:pPr>
            <w:r w:rsidRPr="00A17564">
              <w:rPr>
                <w:b/>
                <w:lang w:val="ro-RO"/>
              </w:rPr>
              <w:t>10 p.</w:t>
            </w:r>
          </w:p>
        </w:tc>
      </w:tr>
      <w:tr w:rsidR="00F732A4" w:rsidRPr="00A17564" w:rsidTr="008228EA">
        <w:tc>
          <w:tcPr>
            <w:tcW w:w="9875" w:type="dxa"/>
            <w:gridSpan w:val="3"/>
            <w:shd w:val="clear" w:color="auto" w:fill="auto"/>
          </w:tcPr>
          <w:p w:rsidR="005C50D3" w:rsidRPr="00A17564" w:rsidDel="002C42B8" w:rsidRDefault="005C50D3" w:rsidP="007A3EEB">
            <w:pPr>
              <w:jc w:val="both"/>
              <w:rPr>
                <w:lang w:val="ro-RO"/>
              </w:rPr>
            </w:pPr>
            <w:r w:rsidRPr="00A17564">
              <w:rPr>
                <w:lang w:val="ro-RO"/>
              </w:rPr>
              <w:t>În situația în care unul din produsele menționate la criteriul 1.1 sau 1.2 îndeplinește și condițiile pentru a fi produs ecologic, proiectul va fi punctat, cumulativ,  la criteriul 1.1 și 1.3, respectiv 1.2 și 1.3.</w:t>
            </w:r>
          </w:p>
        </w:tc>
      </w:tr>
      <w:tr w:rsidR="00F732A4" w:rsidRPr="00A17564" w:rsidTr="009608D0">
        <w:tc>
          <w:tcPr>
            <w:tcW w:w="993" w:type="dxa"/>
            <w:vMerge w:val="restart"/>
            <w:shd w:val="clear" w:color="auto" w:fill="auto"/>
          </w:tcPr>
          <w:p w:rsidR="004E79C5" w:rsidRPr="00A17564" w:rsidDel="00C27A11" w:rsidRDefault="00AC3534" w:rsidP="007A3EEB">
            <w:pPr>
              <w:jc w:val="both"/>
              <w:rPr>
                <w:b/>
                <w:lang w:val="ro-RO"/>
              </w:rPr>
            </w:pPr>
            <w:r>
              <w:rPr>
                <w:b/>
                <w:lang w:val="ro-RO"/>
              </w:rPr>
              <w:t>P2</w:t>
            </w:r>
          </w:p>
        </w:tc>
        <w:tc>
          <w:tcPr>
            <w:tcW w:w="7465" w:type="dxa"/>
            <w:shd w:val="clear" w:color="auto" w:fill="FBD4B4"/>
          </w:tcPr>
          <w:p w:rsidR="004E79C5" w:rsidRPr="00A17564" w:rsidDel="002C583C" w:rsidRDefault="003642DB" w:rsidP="007A3EEB">
            <w:pPr>
              <w:jc w:val="both"/>
              <w:rPr>
                <w:b/>
                <w:lang w:val="ro-RO"/>
              </w:rPr>
            </w:pPr>
            <w:r w:rsidRPr="00A17564">
              <w:rPr>
                <w:b/>
                <w:lang w:val="ro-RO"/>
              </w:rPr>
              <w:t>Principiul maturității proiectului în sensul disponibilității la depunerea proiectului a  autorizațiilor/avizelor care să permită demararea acestuia</w:t>
            </w:r>
          </w:p>
        </w:tc>
        <w:tc>
          <w:tcPr>
            <w:tcW w:w="1417" w:type="dxa"/>
            <w:shd w:val="clear" w:color="auto" w:fill="FBD4B4"/>
          </w:tcPr>
          <w:p w:rsidR="004E79C5" w:rsidRPr="00A17564" w:rsidDel="002C583C" w:rsidRDefault="003642DB" w:rsidP="00F253C4">
            <w:pPr>
              <w:jc w:val="center"/>
              <w:rPr>
                <w:b/>
                <w:lang w:val="ro-RO"/>
              </w:rPr>
            </w:pPr>
            <w:r w:rsidRPr="00A17564">
              <w:rPr>
                <w:b/>
                <w:lang w:val="ro-RO"/>
              </w:rPr>
              <w:t>Max 25 puncte</w:t>
            </w:r>
          </w:p>
        </w:tc>
      </w:tr>
      <w:tr w:rsidR="00F732A4" w:rsidRPr="00A17564" w:rsidTr="009608D0">
        <w:tc>
          <w:tcPr>
            <w:tcW w:w="993" w:type="dxa"/>
            <w:vMerge/>
            <w:shd w:val="clear" w:color="auto" w:fill="auto"/>
          </w:tcPr>
          <w:p w:rsidR="004E79C5" w:rsidRPr="00A17564" w:rsidRDefault="004E79C5" w:rsidP="007A3EEB">
            <w:pPr>
              <w:jc w:val="both"/>
              <w:rPr>
                <w:b/>
                <w:lang w:val="ro-RO"/>
              </w:rPr>
            </w:pPr>
          </w:p>
        </w:tc>
        <w:tc>
          <w:tcPr>
            <w:tcW w:w="7465" w:type="dxa"/>
            <w:shd w:val="clear" w:color="auto" w:fill="FFE599" w:themeFill="accent4" w:themeFillTint="66"/>
          </w:tcPr>
          <w:p w:rsidR="004E79C5" w:rsidRPr="00A17564" w:rsidRDefault="003642DB" w:rsidP="00A25B76">
            <w:pPr>
              <w:jc w:val="both"/>
              <w:rPr>
                <w:b/>
                <w:i/>
                <w:lang w:val="ro-RO"/>
              </w:rPr>
            </w:pPr>
            <w:r w:rsidRPr="00A17564">
              <w:rPr>
                <w:b/>
                <w:i/>
                <w:lang w:val="ro-RO"/>
              </w:rPr>
              <w:t>2.1 Proiecte însoțite la data depunerii Cererii de Finanțare de</w:t>
            </w:r>
            <w:r w:rsidR="00A25B76" w:rsidRPr="00A17564">
              <w:rPr>
                <w:b/>
                <w:i/>
                <w:lang w:val="ro-RO"/>
              </w:rPr>
              <w:t xml:space="preserve"> documentul</w:t>
            </w:r>
            <w:r w:rsidRPr="00A17564">
              <w:rPr>
                <w:b/>
                <w:i/>
                <w:lang w:val="ro-RO"/>
              </w:rPr>
              <w:t xml:space="preserve"> emis de ANPM </w:t>
            </w:r>
          </w:p>
        </w:tc>
        <w:tc>
          <w:tcPr>
            <w:tcW w:w="1417" w:type="dxa"/>
            <w:shd w:val="clear" w:color="auto" w:fill="auto"/>
          </w:tcPr>
          <w:p w:rsidR="004E79C5" w:rsidRPr="00A17564" w:rsidDel="002C583C" w:rsidRDefault="004E79C5" w:rsidP="00F253C4">
            <w:pPr>
              <w:jc w:val="center"/>
              <w:rPr>
                <w:b/>
                <w:lang w:val="ro-RO"/>
              </w:rPr>
            </w:pPr>
          </w:p>
        </w:tc>
      </w:tr>
      <w:tr w:rsidR="00F732A4" w:rsidRPr="00A17564" w:rsidTr="009608D0">
        <w:tc>
          <w:tcPr>
            <w:tcW w:w="993" w:type="dxa"/>
            <w:vMerge/>
            <w:shd w:val="clear" w:color="auto" w:fill="auto"/>
          </w:tcPr>
          <w:p w:rsidR="004E79C5" w:rsidRPr="00A17564" w:rsidRDefault="004E79C5" w:rsidP="007A3EEB">
            <w:pPr>
              <w:jc w:val="both"/>
              <w:rPr>
                <w:b/>
                <w:lang w:val="ro-RO"/>
              </w:rPr>
            </w:pPr>
          </w:p>
        </w:tc>
        <w:tc>
          <w:tcPr>
            <w:tcW w:w="7465" w:type="dxa"/>
            <w:shd w:val="clear" w:color="auto" w:fill="auto"/>
          </w:tcPr>
          <w:p w:rsidR="004E79C5" w:rsidRPr="00A17564" w:rsidRDefault="003642DB" w:rsidP="007A3EEB">
            <w:pPr>
              <w:jc w:val="both"/>
              <w:rPr>
                <w:b/>
                <w:i/>
                <w:lang w:val="ro-RO"/>
              </w:rPr>
            </w:pPr>
            <w:r w:rsidRPr="00A17564">
              <w:rPr>
                <w:b/>
                <w:i/>
                <w:lang w:val="ro-RO"/>
              </w:rPr>
              <w:t>2.1.1 Acord de mediu</w:t>
            </w:r>
          </w:p>
        </w:tc>
        <w:tc>
          <w:tcPr>
            <w:tcW w:w="1417" w:type="dxa"/>
            <w:shd w:val="clear" w:color="auto" w:fill="auto"/>
          </w:tcPr>
          <w:p w:rsidR="004E79C5" w:rsidRPr="00A17564" w:rsidRDefault="003642DB" w:rsidP="00F253C4">
            <w:pPr>
              <w:jc w:val="center"/>
              <w:rPr>
                <w:b/>
                <w:lang w:val="ro-RO"/>
              </w:rPr>
            </w:pPr>
            <w:r w:rsidRPr="00A17564">
              <w:rPr>
                <w:b/>
                <w:lang w:val="ro-RO"/>
              </w:rPr>
              <w:t>25p</w:t>
            </w:r>
          </w:p>
        </w:tc>
      </w:tr>
      <w:tr w:rsidR="00F732A4" w:rsidRPr="00A17564" w:rsidTr="009608D0">
        <w:tc>
          <w:tcPr>
            <w:tcW w:w="993" w:type="dxa"/>
            <w:vMerge/>
            <w:shd w:val="clear" w:color="auto" w:fill="auto"/>
          </w:tcPr>
          <w:p w:rsidR="004E79C5" w:rsidRPr="00A17564" w:rsidRDefault="004E79C5" w:rsidP="007A3EEB">
            <w:pPr>
              <w:jc w:val="both"/>
              <w:rPr>
                <w:b/>
                <w:lang w:val="ro-RO"/>
              </w:rPr>
            </w:pPr>
          </w:p>
        </w:tc>
        <w:tc>
          <w:tcPr>
            <w:tcW w:w="7465" w:type="dxa"/>
            <w:shd w:val="clear" w:color="auto" w:fill="auto"/>
          </w:tcPr>
          <w:p w:rsidR="004E79C5" w:rsidRPr="00A17564" w:rsidRDefault="003642DB" w:rsidP="007A3EEB">
            <w:pPr>
              <w:jc w:val="both"/>
              <w:rPr>
                <w:b/>
                <w:i/>
                <w:lang w:val="ro-RO"/>
              </w:rPr>
            </w:pPr>
            <w:r w:rsidRPr="00A17564">
              <w:rPr>
                <w:b/>
                <w:i/>
                <w:lang w:val="ro-RO"/>
              </w:rPr>
              <w:t>2.1.2 Decizia etapei de încadrare</w:t>
            </w:r>
          </w:p>
        </w:tc>
        <w:tc>
          <w:tcPr>
            <w:tcW w:w="1417" w:type="dxa"/>
            <w:shd w:val="clear" w:color="auto" w:fill="auto"/>
          </w:tcPr>
          <w:p w:rsidR="004E79C5" w:rsidRPr="00A17564" w:rsidRDefault="003642DB" w:rsidP="00F253C4">
            <w:pPr>
              <w:jc w:val="center"/>
              <w:rPr>
                <w:lang w:val="ro-RO"/>
              </w:rPr>
            </w:pPr>
            <w:r w:rsidRPr="00A17564">
              <w:rPr>
                <w:b/>
                <w:lang w:val="ro-RO"/>
              </w:rPr>
              <w:t>20 p</w:t>
            </w:r>
          </w:p>
        </w:tc>
      </w:tr>
      <w:tr w:rsidR="00F732A4" w:rsidRPr="00A17564" w:rsidTr="009608D0">
        <w:tc>
          <w:tcPr>
            <w:tcW w:w="993" w:type="dxa"/>
            <w:vMerge/>
            <w:shd w:val="clear" w:color="auto" w:fill="auto"/>
          </w:tcPr>
          <w:p w:rsidR="004E79C5" w:rsidRPr="00A17564" w:rsidRDefault="004E79C5" w:rsidP="007A3EEB">
            <w:pPr>
              <w:jc w:val="both"/>
              <w:rPr>
                <w:b/>
                <w:lang w:val="ro-RO"/>
              </w:rPr>
            </w:pPr>
          </w:p>
        </w:tc>
        <w:tc>
          <w:tcPr>
            <w:tcW w:w="7465" w:type="dxa"/>
            <w:shd w:val="clear" w:color="auto" w:fill="auto"/>
          </w:tcPr>
          <w:p w:rsidR="004E79C5" w:rsidRPr="00A17564" w:rsidRDefault="003642DB" w:rsidP="007A3EEB">
            <w:pPr>
              <w:jc w:val="both"/>
              <w:rPr>
                <w:b/>
                <w:i/>
                <w:lang w:val="ro-RO"/>
              </w:rPr>
            </w:pPr>
            <w:r w:rsidRPr="00A17564">
              <w:rPr>
                <w:b/>
                <w:i/>
                <w:lang w:val="ro-RO"/>
              </w:rPr>
              <w:t>2.1.3 Clasarea notificării</w:t>
            </w:r>
          </w:p>
        </w:tc>
        <w:tc>
          <w:tcPr>
            <w:tcW w:w="1417" w:type="dxa"/>
            <w:shd w:val="clear" w:color="auto" w:fill="auto"/>
          </w:tcPr>
          <w:p w:rsidR="004E79C5" w:rsidRPr="00A17564" w:rsidRDefault="003642DB" w:rsidP="00F253C4">
            <w:pPr>
              <w:jc w:val="center"/>
              <w:rPr>
                <w:lang w:val="ro-RO"/>
              </w:rPr>
            </w:pPr>
            <w:r w:rsidRPr="00A17564">
              <w:rPr>
                <w:b/>
                <w:lang w:val="ro-RO"/>
              </w:rPr>
              <w:t>15 p</w:t>
            </w:r>
          </w:p>
        </w:tc>
      </w:tr>
      <w:tr w:rsidR="00F732A4" w:rsidRPr="00A17564" w:rsidTr="009608D0">
        <w:tc>
          <w:tcPr>
            <w:tcW w:w="993" w:type="dxa"/>
            <w:vMerge w:val="restart"/>
            <w:shd w:val="clear" w:color="auto" w:fill="auto"/>
          </w:tcPr>
          <w:p w:rsidR="00B067D4" w:rsidRPr="00A17564" w:rsidRDefault="00AC3534" w:rsidP="007A3EEB">
            <w:pPr>
              <w:jc w:val="both"/>
              <w:rPr>
                <w:b/>
                <w:lang w:val="ro-RO"/>
              </w:rPr>
            </w:pPr>
            <w:r>
              <w:rPr>
                <w:b/>
                <w:lang w:val="ro-RO"/>
              </w:rPr>
              <w:t>P</w:t>
            </w:r>
            <w:r w:rsidR="00B067D4" w:rsidRPr="00A17564">
              <w:rPr>
                <w:b/>
                <w:lang w:val="ro-RO"/>
              </w:rPr>
              <w:t>3</w:t>
            </w:r>
          </w:p>
        </w:tc>
        <w:tc>
          <w:tcPr>
            <w:tcW w:w="7465" w:type="dxa"/>
            <w:shd w:val="clear" w:color="auto" w:fill="FBD4B4"/>
          </w:tcPr>
          <w:p w:rsidR="00B067D4" w:rsidRPr="00A17564" w:rsidRDefault="00B067D4" w:rsidP="007A3EEB">
            <w:pPr>
              <w:jc w:val="both"/>
              <w:rPr>
                <w:b/>
                <w:lang w:val="ro-RO"/>
              </w:rPr>
            </w:pPr>
            <w:r w:rsidRPr="00A17564">
              <w:rPr>
                <w:b/>
                <w:lang w:val="ro-RO"/>
              </w:rPr>
              <w:t xml:space="preserve">Principiul maturității solicitantului în sensul vechimii întreprinderii și a vechimii in </w:t>
            </w:r>
            <w:r w:rsidR="00FD7DCF" w:rsidRPr="00A17564">
              <w:rPr>
                <w:b/>
                <w:lang w:val="ro-RO"/>
              </w:rPr>
              <w:t>desfășurarea</w:t>
            </w:r>
            <w:r w:rsidRPr="00A17564">
              <w:rPr>
                <w:b/>
                <w:lang w:val="ro-RO"/>
              </w:rPr>
              <w:t xml:space="preserve"> </w:t>
            </w:r>
            <w:r w:rsidR="00FD7DCF" w:rsidRPr="00A17564">
              <w:rPr>
                <w:b/>
                <w:lang w:val="ro-RO"/>
              </w:rPr>
              <w:t>activității</w:t>
            </w:r>
            <w:r w:rsidRPr="00A17564">
              <w:rPr>
                <w:b/>
                <w:lang w:val="ro-RO"/>
              </w:rPr>
              <w:t>;</w:t>
            </w:r>
          </w:p>
        </w:tc>
        <w:tc>
          <w:tcPr>
            <w:tcW w:w="1417" w:type="dxa"/>
            <w:shd w:val="clear" w:color="auto" w:fill="FBD4B4"/>
          </w:tcPr>
          <w:p w:rsidR="00B067D4" w:rsidRPr="00A17564" w:rsidDel="002C583C" w:rsidRDefault="00B067D4" w:rsidP="00F253C4">
            <w:pPr>
              <w:jc w:val="center"/>
              <w:rPr>
                <w:b/>
                <w:lang w:val="ro-RO"/>
              </w:rPr>
            </w:pPr>
            <w:r w:rsidRPr="00A17564">
              <w:rPr>
                <w:b/>
                <w:lang w:val="ro-RO"/>
              </w:rPr>
              <w:t>Max 30</w:t>
            </w:r>
          </w:p>
        </w:tc>
      </w:tr>
      <w:tr w:rsidR="00F732A4" w:rsidRPr="00A17564" w:rsidTr="003642DB">
        <w:tc>
          <w:tcPr>
            <w:tcW w:w="993" w:type="dxa"/>
            <w:vMerge/>
            <w:shd w:val="clear" w:color="auto" w:fill="auto"/>
          </w:tcPr>
          <w:p w:rsidR="00B067D4" w:rsidRPr="00A17564" w:rsidRDefault="00B067D4" w:rsidP="007A3EEB">
            <w:pPr>
              <w:jc w:val="both"/>
              <w:rPr>
                <w:b/>
                <w:lang w:val="ro-RO"/>
              </w:rPr>
            </w:pPr>
          </w:p>
        </w:tc>
        <w:tc>
          <w:tcPr>
            <w:tcW w:w="7465" w:type="dxa"/>
            <w:shd w:val="clear" w:color="auto" w:fill="FFE599" w:themeFill="accent4" w:themeFillTint="66"/>
          </w:tcPr>
          <w:p w:rsidR="00B067D4" w:rsidRPr="00A17564" w:rsidRDefault="00B067D4" w:rsidP="007A3EEB">
            <w:pPr>
              <w:jc w:val="both"/>
              <w:rPr>
                <w:lang w:val="ro-RO"/>
              </w:rPr>
            </w:pPr>
            <w:r w:rsidRPr="00A17564">
              <w:rPr>
                <w:b/>
                <w:lang w:val="ro-RO"/>
              </w:rPr>
              <w:t xml:space="preserve">3.1 Proiecte depuse de solicitanții al căror  raport dintre </w:t>
            </w:r>
            <w:r w:rsidR="00FD7DCF" w:rsidRPr="00A17564">
              <w:rPr>
                <w:b/>
                <w:lang w:val="ro-RO"/>
              </w:rPr>
              <w:t>finanțarea</w:t>
            </w:r>
            <w:r w:rsidRPr="00A17564">
              <w:rPr>
                <w:b/>
                <w:lang w:val="ro-RO"/>
              </w:rPr>
              <w:t xml:space="preserve"> nerambursabilă si cifra de afaceri*  este mai mic sau egal  cu 5, iar vechimea întreprinderii active** este de minim 3 ani  </w:t>
            </w:r>
          </w:p>
        </w:tc>
        <w:tc>
          <w:tcPr>
            <w:tcW w:w="1417" w:type="dxa"/>
            <w:shd w:val="clear" w:color="auto" w:fill="auto"/>
          </w:tcPr>
          <w:p w:rsidR="00B067D4" w:rsidRPr="00A17564" w:rsidDel="002C583C" w:rsidRDefault="00B067D4" w:rsidP="00F253C4">
            <w:pPr>
              <w:jc w:val="center"/>
              <w:rPr>
                <w:b/>
                <w:lang w:val="ro-RO"/>
              </w:rPr>
            </w:pPr>
          </w:p>
        </w:tc>
      </w:tr>
      <w:tr w:rsidR="00F732A4" w:rsidRPr="00A17564" w:rsidTr="009608D0">
        <w:tc>
          <w:tcPr>
            <w:tcW w:w="993" w:type="dxa"/>
            <w:vMerge/>
            <w:shd w:val="clear" w:color="auto" w:fill="auto"/>
          </w:tcPr>
          <w:p w:rsidR="00B067D4" w:rsidRPr="00A17564" w:rsidRDefault="00B067D4" w:rsidP="007A3EEB">
            <w:pPr>
              <w:jc w:val="both"/>
              <w:rPr>
                <w:b/>
                <w:lang w:val="ro-RO"/>
              </w:rPr>
            </w:pPr>
          </w:p>
        </w:tc>
        <w:tc>
          <w:tcPr>
            <w:tcW w:w="7465" w:type="dxa"/>
            <w:shd w:val="clear" w:color="auto" w:fill="auto"/>
          </w:tcPr>
          <w:p w:rsidR="00B067D4" w:rsidRPr="00A17564" w:rsidRDefault="00B067D4" w:rsidP="007A3EEB">
            <w:pPr>
              <w:numPr>
                <w:ilvl w:val="0"/>
                <w:numId w:val="5"/>
              </w:numPr>
              <w:jc w:val="both"/>
              <w:rPr>
                <w:lang w:val="ro-RO"/>
              </w:rPr>
            </w:pPr>
            <w:r w:rsidRPr="00A17564">
              <w:rPr>
                <w:lang w:val="ro-RO"/>
              </w:rPr>
              <w:t>în desfășurarea activității vizate prin proiect***</w:t>
            </w:r>
          </w:p>
        </w:tc>
        <w:tc>
          <w:tcPr>
            <w:tcW w:w="1417" w:type="dxa"/>
            <w:shd w:val="clear" w:color="auto" w:fill="auto"/>
          </w:tcPr>
          <w:p w:rsidR="00B067D4" w:rsidRPr="00A17564" w:rsidRDefault="00B067D4" w:rsidP="00F253C4">
            <w:pPr>
              <w:jc w:val="center"/>
              <w:rPr>
                <w:lang w:val="ro-RO"/>
              </w:rPr>
            </w:pPr>
            <w:r w:rsidRPr="00A17564">
              <w:rPr>
                <w:lang w:val="ro-RO"/>
              </w:rPr>
              <w:t>17 p</w:t>
            </w:r>
          </w:p>
        </w:tc>
      </w:tr>
      <w:tr w:rsidR="00F732A4" w:rsidRPr="00A17564" w:rsidTr="009608D0">
        <w:tc>
          <w:tcPr>
            <w:tcW w:w="993" w:type="dxa"/>
            <w:vMerge/>
            <w:shd w:val="clear" w:color="auto" w:fill="auto"/>
          </w:tcPr>
          <w:p w:rsidR="00B067D4" w:rsidRPr="00A17564" w:rsidRDefault="00B067D4" w:rsidP="007A3EEB">
            <w:pPr>
              <w:jc w:val="both"/>
              <w:rPr>
                <w:b/>
                <w:lang w:val="ro-RO"/>
              </w:rPr>
            </w:pPr>
          </w:p>
        </w:tc>
        <w:tc>
          <w:tcPr>
            <w:tcW w:w="7465" w:type="dxa"/>
            <w:shd w:val="clear" w:color="auto" w:fill="auto"/>
          </w:tcPr>
          <w:p w:rsidR="00B067D4" w:rsidRPr="00A17564" w:rsidRDefault="00B067D4" w:rsidP="007A3EEB">
            <w:pPr>
              <w:numPr>
                <w:ilvl w:val="0"/>
                <w:numId w:val="5"/>
              </w:numPr>
              <w:jc w:val="both"/>
              <w:rPr>
                <w:b/>
                <w:lang w:val="ro-RO"/>
              </w:rPr>
            </w:pPr>
            <w:r w:rsidRPr="00A17564">
              <w:rPr>
                <w:lang w:val="ro-RO"/>
              </w:rPr>
              <w:t xml:space="preserve">în domeniul </w:t>
            </w:r>
            <w:proofErr w:type="spellStart"/>
            <w:r w:rsidRPr="00A17564">
              <w:rPr>
                <w:lang w:val="ro-RO"/>
              </w:rPr>
              <w:t>agro</w:t>
            </w:r>
            <w:proofErr w:type="spellEnd"/>
            <w:r w:rsidRPr="00A17564">
              <w:rPr>
                <w:lang w:val="ro-RO"/>
              </w:rPr>
              <w:t>-alimentar***</w:t>
            </w:r>
          </w:p>
        </w:tc>
        <w:tc>
          <w:tcPr>
            <w:tcW w:w="1417" w:type="dxa"/>
            <w:shd w:val="clear" w:color="auto" w:fill="auto"/>
          </w:tcPr>
          <w:p w:rsidR="00B067D4" w:rsidRPr="00A17564" w:rsidRDefault="00B067D4" w:rsidP="00F253C4">
            <w:pPr>
              <w:jc w:val="center"/>
              <w:rPr>
                <w:lang w:val="ro-RO"/>
              </w:rPr>
            </w:pPr>
            <w:r w:rsidRPr="00A17564">
              <w:rPr>
                <w:lang w:val="ro-RO"/>
              </w:rPr>
              <w:t>13 p</w:t>
            </w:r>
          </w:p>
        </w:tc>
      </w:tr>
      <w:tr w:rsidR="00F732A4" w:rsidRPr="00A17564" w:rsidTr="009608D0">
        <w:tc>
          <w:tcPr>
            <w:tcW w:w="993" w:type="dxa"/>
            <w:vMerge/>
            <w:shd w:val="clear" w:color="auto" w:fill="auto"/>
          </w:tcPr>
          <w:p w:rsidR="00B067D4" w:rsidRPr="00A17564" w:rsidRDefault="00B067D4" w:rsidP="007A3EEB">
            <w:pPr>
              <w:jc w:val="both"/>
              <w:rPr>
                <w:b/>
                <w:lang w:val="ro-RO"/>
              </w:rPr>
            </w:pPr>
          </w:p>
        </w:tc>
        <w:tc>
          <w:tcPr>
            <w:tcW w:w="8882" w:type="dxa"/>
            <w:gridSpan w:val="2"/>
            <w:shd w:val="clear" w:color="auto" w:fill="auto"/>
          </w:tcPr>
          <w:p w:rsidR="00B067D4" w:rsidRPr="00A17564" w:rsidRDefault="00B067D4" w:rsidP="007A3EEB">
            <w:pPr>
              <w:jc w:val="both"/>
              <w:rPr>
                <w:i/>
                <w:lang w:val="ro-RO"/>
              </w:rPr>
            </w:pPr>
            <w:r w:rsidRPr="00A17564">
              <w:rPr>
                <w:i/>
                <w:lang w:val="ro-RO"/>
              </w:rPr>
              <w:t>Punctajul acordat la punctele a și b este cumulativ</w:t>
            </w:r>
          </w:p>
          <w:p w:rsidR="00B067D4" w:rsidRPr="00A17564" w:rsidRDefault="00B067D4" w:rsidP="007A3EEB">
            <w:pPr>
              <w:jc w:val="both"/>
              <w:rPr>
                <w:i/>
                <w:lang w:val="ro-RO"/>
              </w:rPr>
            </w:pPr>
            <w:r w:rsidRPr="00A17564">
              <w:rPr>
                <w:i/>
                <w:lang w:val="ro-RO"/>
              </w:rPr>
              <w:lastRenderedPageBreak/>
              <w:t>*se va lua în considerare cifra de afaceri din anul 2019</w:t>
            </w:r>
            <w:r w:rsidR="00856812" w:rsidRPr="00A17564">
              <w:rPr>
                <w:i/>
                <w:lang w:val="ro-RO"/>
              </w:rPr>
              <w:t xml:space="preserve"> sau 2020</w:t>
            </w:r>
            <w:r w:rsidRPr="00A17564">
              <w:rPr>
                <w:i/>
                <w:lang w:val="ro-RO"/>
              </w:rPr>
              <w:t>;</w:t>
            </w:r>
          </w:p>
          <w:p w:rsidR="00B067D4" w:rsidRPr="00A17564" w:rsidRDefault="00B067D4" w:rsidP="007A3EEB">
            <w:pPr>
              <w:jc w:val="both"/>
              <w:rPr>
                <w:i/>
                <w:lang w:val="ro-RO"/>
              </w:rPr>
            </w:pPr>
            <w:r w:rsidRPr="00A17564">
              <w:rPr>
                <w:i/>
                <w:lang w:val="ro-RO"/>
              </w:rPr>
              <w:t xml:space="preserve">**entitatea care, din punct de vedere economic, este activă în perioada </w:t>
            </w:r>
            <w:r w:rsidR="00CC4BEA" w:rsidRPr="00A17564">
              <w:rPr>
                <w:i/>
                <w:lang w:val="ro-RO"/>
              </w:rPr>
              <w:t xml:space="preserve">analizată </w:t>
            </w:r>
            <w:r w:rsidRPr="00A17564">
              <w:rPr>
                <w:i/>
                <w:lang w:val="ro-RO"/>
              </w:rPr>
              <w:t>(minim ultimii 3 ani înainte de depunerea cererii de finanțare), respectiv</w:t>
            </w:r>
            <w:r w:rsidR="00856812" w:rsidRPr="00A17564">
              <w:rPr>
                <w:i/>
                <w:lang w:val="ro-RO"/>
              </w:rPr>
              <w:t xml:space="preserve"> realizează CA, </w:t>
            </w:r>
            <w:r w:rsidRPr="00A17564">
              <w:rPr>
                <w:i/>
                <w:lang w:val="ro-RO"/>
              </w:rPr>
              <w:t xml:space="preserve"> realizează bunuri sau servicii, înregistrează cheltuieli și întocmește bilanț contabil</w:t>
            </w:r>
            <w:r w:rsidR="00CC4BEA" w:rsidRPr="00A17564">
              <w:rPr>
                <w:i/>
                <w:lang w:val="ro-RO"/>
              </w:rPr>
              <w:t>/</w:t>
            </w:r>
            <w:r w:rsidR="00A5293D" w:rsidRPr="00A17564">
              <w:rPr>
                <w:i/>
                <w:lang w:val="ro-RO"/>
              </w:rPr>
              <w:t xml:space="preserve">declarații ANAF pentru PFA, </w:t>
            </w:r>
            <w:r w:rsidR="00CC4BEA" w:rsidRPr="00A17564">
              <w:rPr>
                <w:i/>
                <w:lang w:val="ro-RO"/>
              </w:rPr>
              <w:t>II</w:t>
            </w:r>
            <w:r w:rsidR="00A5293D" w:rsidRPr="00A17564">
              <w:rPr>
                <w:i/>
                <w:lang w:val="ro-RO"/>
              </w:rPr>
              <w:t>, IF</w:t>
            </w:r>
            <w:r w:rsidRPr="00A17564">
              <w:rPr>
                <w:i/>
                <w:lang w:val="ro-RO"/>
              </w:rPr>
              <w:t>;</w:t>
            </w:r>
          </w:p>
          <w:p w:rsidR="00B067D4" w:rsidRPr="00A17564" w:rsidRDefault="00B067D4" w:rsidP="007A3EEB">
            <w:pPr>
              <w:jc w:val="both"/>
              <w:rPr>
                <w:i/>
                <w:lang w:val="ro-RO"/>
              </w:rPr>
            </w:pPr>
            <w:r w:rsidRPr="00A17564">
              <w:rPr>
                <w:i/>
                <w:lang w:val="ro-RO"/>
              </w:rPr>
              <w:t>***în cazu</w:t>
            </w:r>
            <w:r w:rsidR="00CC4BEA" w:rsidRPr="00A17564">
              <w:rPr>
                <w:i/>
                <w:lang w:val="ro-RO"/>
              </w:rPr>
              <w:t xml:space="preserve">l formelor asociative vechimea solicitantului </w:t>
            </w:r>
            <w:r w:rsidRPr="00A17564">
              <w:rPr>
                <w:i/>
                <w:lang w:val="ro-RO"/>
              </w:rPr>
              <w:t xml:space="preserve">trebuie să fie în domeniul </w:t>
            </w:r>
            <w:proofErr w:type="spellStart"/>
            <w:r w:rsidRPr="00A17564">
              <w:rPr>
                <w:i/>
                <w:lang w:val="ro-RO"/>
              </w:rPr>
              <w:t>agro</w:t>
            </w:r>
            <w:proofErr w:type="spellEnd"/>
            <w:r w:rsidRPr="00A17564">
              <w:rPr>
                <w:i/>
                <w:lang w:val="ro-RO"/>
              </w:rPr>
              <w:t>- alimentar, inclusiv activități conexe (servicii etc.)</w:t>
            </w:r>
          </w:p>
        </w:tc>
      </w:tr>
      <w:tr w:rsidR="00F732A4" w:rsidRPr="00A17564" w:rsidTr="009608D0">
        <w:tc>
          <w:tcPr>
            <w:tcW w:w="993" w:type="dxa"/>
            <w:vMerge w:val="restart"/>
            <w:shd w:val="clear" w:color="auto" w:fill="auto"/>
          </w:tcPr>
          <w:p w:rsidR="004E79C5" w:rsidRPr="00A17564" w:rsidRDefault="00AC3534" w:rsidP="007A3EEB">
            <w:pPr>
              <w:jc w:val="both"/>
              <w:rPr>
                <w:b/>
                <w:lang w:val="ro-RO"/>
              </w:rPr>
            </w:pPr>
            <w:r>
              <w:rPr>
                <w:b/>
                <w:lang w:val="ro-RO"/>
              </w:rPr>
              <w:lastRenderedPageBreak/>
              <w:t>P</w:t>
            </w:r>
            <w:r w:rsidR="004E79C5" w:rsidRPr="00A17564">
              <w:rPr>
                <w:b/>
                <w:lang w:val="ro-RO"/>
              </w:rPr>
              <w:t>4</w:t>
            </w:r>
          </w:p>
        </w:tc>
        <w:tc>
          <w:tcPr>
            <w:tcW w:w="7465" w:type="dxa"/>
            <w:shd w:val="clear" w:color="auto" w:fill="FBD4B4"/>
          </w:tcPr>
          <w:p w:rsidR="004E79C5" w:rsidRPr="00A17564" w:rsidRDefault="003642DB" w:rsidP="007A3EEB">
            <w:pPr>
              <w:jc w:val="both"/>
              <w:rPr>
                <w:b/>
                <w:lang w:val="ro-RO"/>
              </w:rPr>
            </w:pPr>
            <w:r w:rsidRPr="00A17564">
              <w:rPr>
                <w:b/>
                <w:lang w:val="ro-RO"/>
              </w:rPr>
              <w:t xml:space="preserve">Principiul accesului la finanțare în sensul </w:t>
            </w:r>
            <w:proofErr w:type="spellStart"/>
            <w:r w:rsidRPr="00A17564">
              <w:rPr>
                <w:b/>
                <w:lang w:val="ro-RO"/>
              </w:rPr>
              <w:t>prioritizării</w:t>
            </w:r>
            <w:proofErr w:type="spellEnd"/>
            <w:r w:rsidRPr="00A17564">
              <w:rPr>
                <w:b/>
                <w:lang w:val="ro-RO"/>
              </w:rPr>
              <w:t xml:space="preserve"> solicitanților care nu au beneficiat de fonduri europene pentru dezvoltarea activității eligibile din PNDR 2014-2020 prin </w:t>
            </w:r>
            <w:proofErr w:type="spellStart"/>
            <w:r w:rsidRPr="00A17564">
              <w:rPr>
                <w:b/>
                <w:lang w:val="ro-RO"/>
              </w:rPr>
              <w:t>sM</w:t>
            </w:r>
            <w:proofErr w:type="spellEnd"/>
            <w:r w:rsidRPr="00A17564">
              <w:rPr>
                <w:b/>
                <w:lang w:val="ro-RO"/>
              </w:rPr>
              <w:t xml:space="preserve"> 4.2a și a celor similare eligibile prin </w:t>
            </w:r>
            <w:proofErr w:type="spellStart"/>
            <w:r w:rsidRPr="00A17564">
              <w:rPr>
                <w:b/>
                <w:lang w:val="ro-RO"/>
              </w:rPr>
              <w:t>sM</w:t>
            </w:r>
            <w:proofErr w:type="spellEnd"/>
            <w:r w:rsidRPr="00A17564">
              <w:rPr>
                <w:b/>
                <w:lang w:val="ro-RO"/>
              </w:rPr>
              <w:t xml:space="preserve"> 19.2</w:t>
            </w:r>
          </w:p>
        </w:tc>
        <w:tc>
          <w:tcPr>
            <w:tcW w:w="1417" w:type="dxa"/>
            <w:shd w:val="clear" w:color="auto" w:fill="FBD4B4"/>
          </w:tcPr>
          <w:p w:rsidR="004E79C5" w:rsidRPr="00A17564" w:rsidDel="002C583C" w:rsidRDefault="003642DB" w:rsidP="007A3EEB">
            <w:pPr>
              <w:jc w:val="center"/>
              <w:rPr>
                <w:b/>
                <w:lang w:val="ro-RO"/>
              </w:rPr>
            </w:pPr>
            <w:r w:rsidRPr="00A17564">
              <w:rPr>
                <w:b/>
                <w:lang w:val="ro-RO"/>
              </w:rPr>
              <w:t>15 p.</w:t>
            </w:r>
          </w:p>
        </w:tc>
      </w:tr>
      <w:tr w:rsidR="00F732A4" w:rsidRPr="00A17564" w:rsidTr="009608D0">
        <w:tc>
          <w:tcPr>
            <w:tcW w:w="993" w:type="dxa"/>
            <w:vMerge/>
            <w:shd w:val="clear" w:color="auto" w:fill="auto"/>
          </w:tcPr>
          <w:p w:rsidR="003642DB" w:rsidRPr="00A17564" w:rsidRDefault="003642DB" w:rsidP="007A3EEB">
            <w:pPr>
              <w:jc w:val="both"/>
              <w:rPr>
                <w:b/>
                <w:lang w:val="ro-RO"/>
              </w:rPr>
            </w:pPr>
          </w:p>
        </w:tc>
        <w:tc>
          <w:tcPr>
            <w:tcW w:w="7465" w:type="dxa"/>
            <w:shd w:val="clear" w:color="auto" w:fill="FFE599" w:themeFill="accent4" w:themeFillTint="66"/>
          </w:tcPr>
          <w:p w:rsidR="003642DB" w:rsidRPr="00A17564" w:rsidRDefault="003642DB" w:rsidP="007A3EEB">
            <w:pPr>
              <w:jc w:val="both"/>
              <w:rPr>
                <w:b/>
                <w:lang w:val="ro-RO"/>
              </w:rPr>
            </w:pPr>
            <w:r w:rsidRPr="00A17564">
              <w:rPr>
                <w:b/>
                <w:lang w:val="ro-RO"/>
              </w:rPr>
              <w:t xml:space="preserve">4.1 </w:t>
            </w:r>
            <w:r w:rsidR="00FD7DCF" w:rsidRPr="00A17564">
              <w:rPr>
                <w:b/>
                <w:lang w:val="ro-RO"/>
              </w:rPr>
              <w:t>Solicitanți</w:t>
            </w:r>
            <w:r w:rsidRPr="00A17564">
              <w:rPr>
                <w:b/>
                <w:lang w:val="ro-RO"/>
              </w:rPr>
              <w:t xml:space="preserve"> care nu au beneficiat de finanțare din fonduri europene pentru dezvoltarea activității eligibile prin </w:t>
            </w:r>
            <w:proofErr w:type="spellStart"/>
            <w:r w:rsidRPr="00A17564">
              <w:rPr>
                <w:b/>
                <w:lang w:val="ro-RO"/>
              </w:rPr>
              <w:t>sM</w:t>
            </w:r>
            <w:proofErr w:type="spellEnd"/>
            <w:r w:rsidRPr="00A17564">
              <w:rPr>
                <w:b/>
                <w:lang w:val="ro-RO"/>
              </w:rPr>
              <w:t xml:space="preserve"> 4.2a și a celor similare eligibile prin </w:t>
            </w:r>
            <w:proofErr w:type="spellStart"/>
            <w:r w:rsidRPr="00A17564">
              <w:rPr>
                <w:b/>
                <w:lang w:val="ro-RO"/>
              </w:rPr>
              <w:t>sM</w:t>
            </w:r>
            <w:proofErr w:type="spellEnd"/>
            <w:r w:rsidRPr="00A17564">
              <w:rPr>
                <w:b/>
                <w:lang w:val="ro-RO"/>
              </w:rPr>
              <w:t xml:space="preserve"> 19.2</w:t>
            </w:r>
          </w:p>
        </w:tc>
        <w:tc>
          <w:tcPr>
            <w:tcW w:w="1417" w:type="dxa"/>
            <w:vMerge w:val="restart"/>
            <w:shd w:val="clear" w:color="auto" w:fill="auto"/>
          </w:tcPr>
          <w:p w:rsidR="003642DB" w:rsidRPr="00A17564" w:rsidDel="002C583C" w:rsidRDefault="00F732A4" w:rsidP="007A3EEB">
            <w:pPr>
              <w:jc w:val="both"/>
              <w:rPr>
                <w:b/>
                <w:lang w:val="ro-RO"/>
              </w:rPr>
            </w:pPr>
            <w:r w:rsidRPr="00A17564">
              <w:rPr>
                <w:b/>
                <w:lang w:val="ro-RO"/>
              </w:rPr>
              <w:t xml:space="preserve">       15 p</w:t>
            </w:r>
          </w:p>
        </w:tc>
      </w:tr>
      <w:tr w:rsidR="00F732A4" w:rsidRPr="00A17564" w:rsidTr="009608D0">
        <w:tc>
          <w:tcPr>
            <w:tcW w:w="993" w:type="dxa"/>
            <w:vMerge/>
            <w:shd w:val="clear" w:color="auto" w:fill="auto"/>
          </w:tcPr>
          <w:p w:rsidR="003642DB" w:rsidRPr="00A17564" w:rsidRDefault="003642DB" w:rsidP="007A3EEB">
            <w:pPr>
              <w:jc w:val="both"/>
              <w:rPr>
                <w:b/>
                <w:lang w:val="ro-RO"/>
              </w:rPr>
            </w:pPr>
          </w:p>
        </w:tc>
        <w:tc>
          <w:tcPr>
            <w:tcW w:w="7465" w:type="dxa"/>
            <w:shd w:val="clear" w:color="auto" w:fill="auto"/>
          </w:tcPr>
          <w:p w:rsidR="003642DB" w:rsidRPr="00A17564" w:rsidRDefault="003642DB" w:rsidP="007A3EEB">
            <w:pPr>
              <w:jc w:val="both"/>
              <w:rPr>
                <w:lang w:val="ro-RO"/>
              </w:rPr>
            </w:pPr>
            <w:r w:rsidRPr="00A17564">
              <w:rPr>
                <w:i/>
                <w:lang w:val="ro-RO"/>
              </w:rPr>
              <w:t>Punctajul va fi acordat pentru solicitanții care nu au obținut finanțare</w:t>
            </w:r>
            <w:r w:rsidR="004D2DDF" w:rsidRPr="00A17564">
              <w:rPr>
                <w:i/>
                <w:lang w:val="ro-RO"/>
              </w:rPr>
              <w:t xml:space="preserve"> (nu au avut un proiect selectat)</w:t>
            </w:r>
            <w:r w:rsidRPr="00A17564">
              <w:rPr>
                <w:i/>
                <w:lang w:val="ro-RO"/>
              </w:rPr>
              <w:t xml:space="preserve"> prin intermediul </w:t>
            </w:r>
            <w:proofErr w:type="spellStart"/>
            <w:r w:rsidRPr="00A17564">
              <w:rPr>
                <w:i/>
                <w:lang w:val="ro-RO"/>
              </w:rPr>
              <w:t>sM</w:t>
            </w:r>
            <w:proofErr w:type="spellEnd"/>
            <w:r w:rsidRPr="00A17564">
              <w:rPr>
                <w:i/>
                <w:lang w:val="ro-RO"/>
              </w:rPr>
              <w:t xml:space="preserve"> 4.2</w:t>
            </w:r>
            <w:r w:rsidR="00D90410" w:rsidRPr="00A17564">
              <w:rPr>
                <w:i/>
                <w:lang w:val="ro-RO"/>
              </w:rPr>
              <w:t>a</w:t>
            </w:r>
            <w:r w:rsidR="00AA2FF8" w:rsidRPr="00A17564">
              <w:rPr>
                <w:i/>
                <w:lang w:val="ro-RO"/>
              </w:rPr>
              <w:t xml:space="preserve"> s</w:t>
            </w:r>
            <w:r w:rsidRPr="00A17564">
              <w:rPr>
                <w:i/>
                <w:lang w:val="ro-RO"/>
              </w:rPr>
              <w:t xml:space="preserve">au prin măsuri similare finanțate prin </w:t>
            </w:r>
            <w:proofErr w:type="spellStart"/>
            <w:r w:rsidRPr="00A17564">
              <w:rPr>
                <w:i/>
                <w:lang w:val="ro-RO"/>
              </w:rPr>
              <w:t>sM</w:t>
            </w:r>
            <w:proofErr w:type="spellEnd"/>
            <w:r w:rsidRPr="00A17564">
              <w:rPr>
                <w:i/>
                <w:lang w:val="ro-RO"/>
              </w:rPr>
              <w:t xml:space="preserve"> 19.2</w:t>
            </w:r>
            <w:r w:rsidRPr="00A17564">
              <w:rPr>
                <w:lang w:val="ro-RO"/>
              </w:rPr>
              <w:t>.</w:t>
            </w:r>
          </w:p>
        </w:tc>
        <w:tc>
          <w:tcPr>
            <w:tcW w:w="1417" w:type="dxa"/>
            <w:vMerge/>
            <w:shd w:val="clear" w:color="auto" w:fill="auto"/>
          </w:tcPr>
          <w:p w:rsidR="003642DB" w:rsidRPr="00A17564" w:rsidDel="002C583C" w:rsidRDefault="003642DB" w:rsidP="007A3EEB">
            <w:pPr>
              <w:jc w:val="both"/>
              <w:rPr>
                <w:b/>
                <w:lang w:val="ro-RO"/>
              </w:rPr>
            </w:pPr>
          </w:p>
        </w:tc>
      </w:tr>
      <w:tr w:rsidR="00F732A4" w:rsidRPr="00A17564" w:rsidTr="009608D0">
        <w:tc>
          <w:tcPr>
            <w:tcW w:w="993" w:type="dxa"/>
            <w:vMerge w:val="restart"/>
            <w:shd w:val="clear" w:color="auto" w:fill="auto"/>
          </w:tcPr>
          <w:p w:rsidR="00B067D4" w:rsidRPr="00A17564" w:rsidRDefault="00B067D4" w:rsidP="007A3EEB">
            <w:pPr>
              <w:jc w:val="both"/>
              <w:rPr>
                <w:b/>
                <w:lang w:val="ro-RO"/>
              </w:rPr>
            </w:pPr>
            <w:r w:rsidRPr="00A17564">
              <w:rPr>
                <w:b/>
                <w:lang w:val="ro-RO"/>
              </w:rPr>
              <w:t xml:space="preserve"> </w:t>
            </w:r>
            <w:r w:rsidR="00AC3534">
              <w:rPr>
                <w:b/>
                <w:lang w:val="ro-RO"/>
              </w:rPr>
              <w:t>P</w:t>
            </w:r>
            <w:r w:rsidRPr="00A17564">
              <w:rPr>
                <w:b/>
                <w:lang w:val="ro-RO"/>
              </w:rPr>
              <w:t>5</w:t>
            </w:r>
          </w:p>
        </w:tc>
        <w:tc>
          <w:tcPr>
            <w:tcW w:w="7465" w:type="dxa"/>
            <w:shd w:val="clear" w:color="auto" w:fill="FBD4B4"/>
          </w:tcPr>
          <w:p w:rsidR="00B067D4" w:rsidRPr="00A17564" w:rsidRDefault="00B067D4" w:rsidP="00BB6591">
            <w:pPr>
              <w:jc w:val="both"/>
              <w:rPr>
                <w:b/>
                <w:lang w:val="ro-RO"/>
              </w:rPr>
            </w:pPr>
            <w:r w:rsidRPr="00A17564">
              <w:rPr>
                <w:b/>
                <w:lang w:val="ro-RO"/>
              </w:rPr>
              <w:t>Principiul asocierii (</w:t>
            </w:r>
            <w:proofErr w:type="spellStart"/>
            <w:r w:rsidRPr="00A17564">
              <w:rPr>
                <w:b/>
                <w:lang w:val="ro-RO"/>
              </w:rPr>
              <w:t>investiţiile</w:t>
            </w:r>
            <w:proofErr w:type="spellEnd"/>
            <w:r w:rsidRPr="00A17564">
              <w:rPr>
                <w:b/>
                <w:lang w:val="ro-RO"/>
              </w:rPr>
              <w:t xml:space="preserve"> realizate de grupurile și organizațiil</w:t>
            </w:r>
            <w:r w:rsidR="00BB6591" w:rsidRPr="00A17564">
              <w:rPr>
                <w:b/>
                <w:lang w:val="ro-RO"/>
              </w:rPr>
              <w:t xml:space="preserve">e de producători </w:t>
            </w:r>
            <w:proofErr w:type="spellStart"/>
            <w:r w:rsidR="00BB6591" w:rsidRPr="00A17564">
              <w:rPr>
                <w:b/>
                <w:lang w:val="ro-RO"/>
              </w:rPr>
              <w:t>şi</w:t>
            </w:r>
            <w:proofErr w:type="spellEnd"/>
            <w:r w:rsidR="00BB6591" w:rsidRPr="00A17564">
              <w:rPr>
                <w:b/>
                <w:lang w:val="ro-RO"/>
              </w:rPr>
              <w:t xml:space="preserve"> cooperative)</w:t>
            </w:r>
          </w:p>
        </w:tc>
        <w:tc>
          <w:tcPr>
            <w:tcW w:w="1417" w:type="dxa"/>
            <w:shd w:val="clear" w:color="auto" w:fill="FBD4B4"/>
          </w:tcPr>
          <w:p w:rsidR="00B067D4" w:rsidRPr="00A17564" w:rsidDel="002C583C" w:rsidRDefault="00B067D4" w:rsidP="007A3EEB">
            <w:pPr>
              <w:jc w:val="center"/>
              <w:rPr>
                <w:b/>
                <w:lang w:val="ro-RO"/>
              </w:rPr>
            </w:pPr>
            <w:r w:rsidRPr="00A17564">
              <w:rPr>
                <w:b/>
                <w:lang w:val="ro-RO"/>
              </w:rPr>
              <w:t>10p</w:t>
            </w:r>
          </w:p>
        </w:tc>
      </w:tr>
      <w:tr w:rsidR="00F732A4" w:rsidRPr="00A17564" w:rsidTr="009608D0">
        <w:tc>
          <w:tcPr>
            <w:tcW w:w="993" w:type="dxa"/>
            <w:vMerge/>
            <w:shd w:val="clear" w:color="auto" w:fill="auto"/>
          </w:tcPr>
          <w:p w:rsidR="00B067D4" w:rsidRPr="00A17564" w:rsidRDefault="00B067D4" w:rsidP="007A3EEB">
            <w:pPr>
              <w:jc w:val="both"/>
              <w:rPr>
                <w:b/>
                <w:lang w:val="ro-RO"/>
              </w:rPr>
            </w:pPr>
          </w:p>
        </w:tc>
        <w:tc>
          <w:tcPr>
            <w:tcW w:w="7465" w:type="dxa"/>
            <w:shd w:val="clear" w:color="auto" w:fill="auto"/>
          </w:tcPr>
          <w:p w:rsidR="00B067D4" w:rsidRPr="00A17564" w:rsidRDefault="00B067D4" w:rsidP="007A3EEB">
            <w:pPr>
              <w:jc w:val="both"/>
              <w:rPr>
                <w:lang w:val="ro-RO"/>
              </w:rPr>
            </w:pPr>
            <w:r w:rsidRPr="00A17564">
              <w:rPr>
                <w:lang w:val="ro-RO"/>
              </w:rPr>
              <w:t>5.1 Proiecte de investiții promovate de cooperative sau grupuri și organizații de producători</w:t>
            </w:r>
          </w:p>
        </w:tc>
        <w:tc>
          <w:tcPr>
            <w:tcW w:w="1417" w:type="dxa"/>
            <w:shd w:val="clear" w:color="auto" w:fill="auto"/>
          </w:tcPr>
          <w:p w:rsidR="00B067D4" w:rsidRPr="00A17564" w:rsidDel="002C583C" w:rsidRDefault="00B067D4" w:rsidP="007A3EEB">
            <w:pPr>
              <w:jc w:val="both"/>
              <w:rPr>
                <w:b/>
                <w:lang w:val="ro-RO"/>
              </w:rPr>
            </w:pPr>
          </w:p>
        </w:tc>
      </w:tr>
      <w:tr w:rsidR="00F732A4" w:rsidRPr="00A17564" w:rsidTr="003642DB">
        <w:tc>
          <w:tcPr>
            <w:tcW w:w="8458" w:type="dxa"/>
            <w:gridSpan w:val="2"/>
            <w:shd w:val="clear" w:color="auto" w:fill="92D050"/>
          </w:tcPr>
          <w:p w:rsidR="004E79C5" w:rsidRPr="00A17564" w:rsidRDefault="004E79C5" w:rsidP="007A3EEB">
            <w:pPr>
              <w:jc w:val="both"/>
              <w:rPr>
                <w:lang w:val="ro-RO"/>
              </w:rPr>
            </w:pPr>
            <w:r w:rsidRPr="00A17564">
              <w:rPr>
                <w:b/>
                <w:lang w:val="ro-RO"/>
              </w:rPr>
              <w:t>TOTAL</w:t>
            </w:r>
          </w:p>
        </w:tc>
        <w:tc>
          <w:tcPr>
            <w:tcW w:w="1417" w:type="dxa"/>
            <w:shd w:val="clear" w:color="auto" w:fill="92D050"/>
          </w:tcPr>
          <w:p w:rsidR="004E79C5" w:rsidRPr="00A17564" w:rsidRDefault="004E79C5" w:rsidP="007A3EEB">
            <w:pPr>
              <w:jc w:val="both"/>
              <w:rPr>
                <w:lang w:val="ro-RO"/>
              </w:rPr>
            </w:pPr>
            <w:r w:rsidRPr="00A17564">
              <w:rPr>
                <w:b/>
                <w:lang w:val="ro-RO"/>
              </w:rPr>
              <w:t>100 p.</w:t>
            </w:r>
          </w:p>
        </w:tc>
      </w:tr>
    </w:tbl>
    <w:p w:rsidR="0032488A" w:rsidRPr="00A17564" w:rsidRDefault="0032488A" w:rsidP="007A3EEB">
      <w:pPr>
        <w:jc w:val="both"/>
        <w:rPr>
          <w:lang w:val="ro-RO"/>
        </w:rPr>
      </w:pPr>
    </w:p>
    <w:p w:rsidR="00AC3534" w:rsidRDefault="00AC3534" w:rsidP="00AC3534">
      <w:pPr>
        <w:ind w:left="105"/>
        <w:jc w:val="both"/>
        <w:rPr>
          <w:b/>
          <w:lang w:val="ro-RO"/>
        </w:rPr>
      </w:pPr>
      <w:r>
        <w:rPr>
          <w:b/>
          <w:lang w:val="ro-RO"/>
        </w:rPr>
        <w:t>Punctaj minim</w:t>
      </w:r>
      <w:r w:rsidRPr="00FD7DCF">
        <w:rPr>
          <w:b/>
          <w:lang w:val="ro-RO"/>
        </w:rPr>
        <w:t xml:space="preserve"> </w:t>
      </w:r>
      <w:r>
        <w:rPr>
          <w:b/>
          <w:lang w:val="ro-RO"/>
        </w:rPr>
        <w:t>-</w:t>
      </w:r>
      <w:r w:rsidRPr="00FD7DCF">
        <w:rPr>
          <w:b/>
          <w:lang w:val="ro-RO"/>
        </w:rPr>
        <w:t xml:space="preserve"> 10 de puncte </w:t>
      </w:r>
    </w:p>
    <w:p w:rsidR="00AC3534" w:rsidRPr="00AC3534" w:rsidRDefault="00AD6552" w:rsidP="00781B88">
      <w:pPr>
        <w:ind w:left="90" w:right="-540"/>
        <w:jc w:val="both"/>
        <w:rPr>
          <w:b/>
        </w:rPr>
      </w:pPr>
      <w:bookmarkStart w:id="0" w:name="_GoBack"/>
      <w:bookmarkEnd w:id="0"/>
      <w:proofErr w:type="spellStart"/>
      <w:r w:rsidRPr="00AC3534">
        <w:rPr>
          <w:b/>
        </w:rPr>
        <w:t>Detaliile</w:t>
      </w:r>
      <w:proofErr w:type="spellEnd"/>
      <w:r w:rsidRPr="00AC3534">
        <w:rPr>
          <w:b/>
        </w:rPr>
        <w:t xml:space="preserve"> cu </w:t>
      </w:r>
      <w:proofErr w:type="spellStart"/>
      <w:r w:rsidRPr="00AC3534">
        <w:rPr>
          <w:b/>
        </w:rPr>
        <w:t>privire</w:t>
      </w:r>
      <w:proofErr w:type="spellEnd"/>
      <w:r w:rsidRPr="00AC3534">
        <w:rPr>
          <w:b/>
        </w:rPr>
        <w:t xml:space="preserve"> la </w:t>
      </w:r>
      <w:proofErr w:type="spellStart"/>
      <w:r w:rsidRPr="00AC3534">
        <w:rPr>
          <w:b/>
        </w:rPr>
        <w:t>modalitatea</w:t>
      </w:r>
      <w:proofErr w:type="spellEnd"/>
      <w:r w:rsidRPr="00AC3534">
        <w:rPr>
          <w:b/>
        </w:rPr>
        <w:t xml:space="preserve"> de </w:t>
      </w:r>
      <w:proofErr w:type="spellStart"/>
      <w:r w:rsidRPr="00AC3534">
        <w:rPr>
          <w:b/>
        </w:rPr>
        <w:t>aplicare</w:t>
      </w:r>
      <w:proofErr w:type="spellEnd"/>
      <w:r w:rsidRPr="00AC3534">
        <w:rPr>
          <w:b/>
        </w:rPr>
        <w:t xml:space="preserve"> a </w:t>
      </w:r>
      <w:proofErr w:type="spellStart"/>
      <w:r w:rsidRPr="00AC3534">
        <w:rPr>
          <w:b/>
        </w:rPr>
        <w:t>criteriilor</w:t>
      </w:r>
      <w:proofErr w:type="spellEnd"/>
      <w:r w:rsidRPr="00AC3534">
        <w:rPr>
          <w:b/>
        </w:rPr>
        <w:t xml:space="preserve"> de </w:t>
      </w:r>
      <w:proofErr w:type="spellStart"/>
      <w:r w:rsidRPr="00AC3534">
        <w:rPr>
          <w:b/>
        </w:rPr>
        <w:t>selecție</w:t>
      </w:r>
      <w:proofErr w:type="spellEnd"/>
      <w:r w:rsidRPr="00AC3534">
        <w:rPr>
          <w:b/>
        </w:rPr>
        <w:t xml:space="preserve"> pot </w:t>
      </w:r>
      <w:proofErr w:type="spellStart"/>
      <w:r w:rsidRPr="00AC3534">
        <w:rPr>
          <w:b/>
        </w:rPr>
        <w:t>suferi</w:t>
      </w:r>
      <w:proofErr w:type="spellEnd"/>
      <w:r w:rsidRPr="00AC3534">
        <w:rPr>
          <w:b/>
        </w:rPr>
        <w:t xml:space="preserve"> </w:t>
      </w:r>
      <w:proofErr w:type="spellStart"/>
      <w:r w:rsidRPr="00AC3534">
        <w:rPr>
          <w:b/>
        </w:rPr>
        <w:t>modificări</w:t>
      </w:r>
      <w:proofErr w:type="spellEnd"/>
      <w:r w:rsidRPr="00AC3534">
        <w:rPr>
          <w:b/>
        </w:rPr>
        <w:t xml:space="preserve"> la </w:t>
      </w:r>
      <w:proofErr w:type="spellStart"/>
      <w:r w:rsidRPr="00AC3534">
        <w:rPr>
          <w:b/>
        </w:rPr>
        <w:t>momentul</w:t>
      </w:r>
      <w:proofErr w:type="spellEnd"/>
      <w:r w:rsidRPr="00AC3534">
        <w:rPr>
          <w:b/>
        </w:rPr>
        <w:t xml:space="preserve"> </w:t>
      </w:r>
      <w:proofErr w:type="spellStart"/>
      <w:r w:rsidRPr="00AC3534">
        <w:rPr>
          <w:b/>
        </w:rPr>
        <w:t>finalizării</w:t>
      </w:r>
      <w:proofErr w:type="spellEnd"/>
      <w:r w:rsidRPr="00AC3534">
        <w:rPr>
          <w:b/>
        </w:rPr>
        <w:t xml:space="preserve"> </w:t>
      </w:r>
      <w:proofErr w:type="spellStart"/>
      <w:r w:rsidRPr="00AC3534">
        <w:rPr>
          <w:b/>
        </w:rPr>
        <w:t>ghidului</w:t>
      </w:r>
      <w:proofErr w:type="spellEnd"/>
      <w:r w:rsidRPr="00AC3534">
        <w:rPr>
          <w:b/>
        </w:rPr>
        <w:t xml:space="preserve"> </w:t>
      </w:r>
      <w:proofErr w:type="spellStart"/>
      <w:r w:rsidRPr="00AC3534">
        <w:rPr>
          <w:b/>
        </w:rPr>
        <w:t>solicitantului</w:t>
      </w:r>
      <w:proofErr w:type="spellEnd"/>
      <w:r w:rsidRPr="00AC3534">
        <w:rPr>
          <w:b/>
        </w:rPr>
        <w:t xml:space="preserve"> </w:t>
      </w:r>
      <w:proofErr w:type="spellStart"/>
      <w:r w:rsidRPr="00AC3534">
        <w:rPr>
          <w:b/>
        </w:rPr>
        <w:t>și</w:t>
      </w:r>
      <w:proofErr w:type="spellEnd"/>
      <w:r w:rsidRPr="00AC3534">
        <w:rPr>
          <w:b/>
        </w:rPr>
        <w:t xml:space="preserve"> </w:t>
      </w:r>
      <w:proofErr w:type="spellStart"/>
      <w:r w:rsidRPr="00AC3534">
        <w:rPr>
          <w:b/>
        </w:rPr>
        <w:t>procedurilor</w:t>
      </w:r>
      <w:proofErr w:type="spellEnd"/>
      <w:r w:rsidRPr="00AC3534">
        <w:rPr>
          <w:b/>
        </w:rPr>
        <w:t xml:space="preserve"> </w:t>
      </w:r>
      <w:proofErr w:type="spellStart"/>
      <w:r w:rsidRPr="00AC3534">
        <w:rPr>
          <w:b/>
        </w:rPr>
        <w:t>în</w:t>
      </w:r>
      <w:proofErr w:type="spellEnd"/>
      <w:r w:rsidRPr="00AC3534">
        <w:rPr>
          <w:b/>
        </w:rPr>
        <w:t xml:space="preserve"> </w:t>
      </w:r>
      <w:proofErr w:type="spellStart"/>
      <w:r w:rsidRPr="00AC3534">
        <w:rPr>
          <w:b/>
        </w:rPr>
        <w:t>vederea</w:t>
      </w:r>
      <w:proofErr w:type="spellEnd"/>
      <w:r w:rsidRPr="00AC3534">
        <w:rPr>
          <w:b/>
        </w:rPr>
        <w:t xml:space="preserve"> </w:t>
      </w:r>
      <w:proofErr w:type="spellStart"/>
      <w:r w:rsidRPr="00AC3534">
        <w:rPr>
          <w:b/>
        </w:rPr>
        <w:t>asigurării</w:t>
      </w:r>
      <w:proofErr w:type="spellEnd"/>
      <w:r w:rsidRPr="00AC3534">
        <w:rPr>
          <w:b/>
        </w:rPr>
        <w:t xml:space="preserve"> </w:t>
      </w:r>
      <w:proofErr w:type="spellStart"/>
      <w:r w:rsidRPr="00AC3534">
        <w:rPr>
          <w:b/>
        </w:rPr>
        <w:t>coerenței</w:t>
      </w:r>
      <w:proofErr w:type="spellEnd"/>
      <w:r w:rsidRPr="00AC3534">
        <w:rPr>
          <w:b/>
        </w:rPr>
        <w:t xml:space="preserve"> </w:t>
      </w:r>
      <w:proofErr w:type="spellStart"/>
      <w:r w:rsidRPr="00AC3534">
        <w:rPr>
          <w:b/>
        </w:rPr>
        <w:t>și</w:t>
      </w:r>
      <w:proofErr w:type="spellEnd"/>
      <w:r w:rsidRPr="00AC3534">
        <w:rPr>
          <w:b/>
        </w:rPr>
        <w:t xml:space="preserve"> </w:t>
      </w:r>
      <w:proofErr w:type="spellStart"/>
      <w:r w:rsidRPr="00AC3534">
        <w:rPr>
          <w:b/>
        </w:rPr>
        <w:t>clarității</w:t>
      </w:r>
      <w:proofErr w:type="spellEnd"/>
      <w:r w:rsidRPr="00AC3534">
        <w:rPr>
          <w:b/>
        </w:rPr>
        <w:t>.</w:t>
      </w:r>
    </w:p>
    <w:p w:rsidR="00AC3534" w:rsidRPr="00AD6552" w:rsidRDefault="00AC3534" w:rsidP="00781B88">
      <w:pPr>
        <w:jc w:val="both"/>
        <w:rPr>
          <w:b/>
          <w:i/>
          <w:lang w:val="ro-RO"/>
        </w:rPr>
      </w:pPr>
    </w:p>
    <w:sectPr w:rsidR="00AC3534" w:rsidRPr="00AD6552" w:rsidSect="00AC3534">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1E" w:rsidRDefault="0068271E" w:rsidP="00A25B76">
      <w:pPr>
        <w:spacing w:after="0" w:line="240" w:lineRule="auto"/>
      </w:pPr>
      <w:r>
        <w:separator/>
      </w:r>
    </w:p>
  </w:endnote>
  <w:endnote w:type="continuationSeparator" w:id="0">
    <w:p w:rsidR="0068271E" w:rsidRDefault="0068271E" w:rsidP="00A2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1E" w:rsidRDefault="0068271E" w:rsidP="00A25B76">
      <w:pPr>
        <w:spacing w:after="0" w:line="240" w:lineRule="auto"/>
      </w:pPr>
      <w:r>
        <w:separator/>
      </w:r>
    </w:p>
  </w:footnote>
  <w:footnote w:type="continuationSeparator" w:id="0">
    <w:p w:rsidR="0068271E" w:rsidRDefault="0068271E" w:rsidP="00A2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76" w:rsidRPr="00A25B76" w:rsidRDefault="00A25B76" w:rsidP="00A25B76">
    <w:pPr>
      <w:pStyle w:val="Header"/>
      <w:jc w:val="center"/>
      <w:rPr>
        <w:lang w:val="ro-RO"/>
      </w:rPr>
    </w:pPr>
    <w:r>
      <w:rPr>
        <w:lang w:val="ro-RO"/>
      </w:rPr>
      <w:t xml:space="preserve">Principii și criterii de selecție aferente </w:t>
    </w:r>
    <w:proofErr w:type="spellStart"/>
    <w:r>
      <w:rPr>
        <w:lang w:val="ro-RO"/>
      </w:rPr>
      <w:t>sM</w:t>
    </w:r>
    <w:proofErr w:type="spellEnd"/>
    <w:r>
      <w:rPr>
        <w:lang w:val="ro-RO"/>
      </w:rPr>
      <w:t xml:space="preserve"> </w:t>
    </w:r>
    <w:r w:rsidR="00A5293D">
      <w:rPr>
        <w:lang w:val="ro-RO"/>
      </w:rPr>
      <w:t xml:space="preserve">4.2a </w:t>
    </w:r>
    <w:r>
      <w:rPr>
        <w:lang w:val="ro-RO"/>
      </w:rPr>
      <w:t>”</w:t>
    </w:r>
    <w:r w:rsidRPr="00A25B76">
      <w:rPr>
        <w:rFonts w:ascii="Calibri" w:hAnsi="Calibri" w:cs="Calibri"/>
        <w:b/>
        <w:bCs/>
        <w:i/>
        <w:iCs/>
        <w:color w:val="000000"/>
        <w:sz w:val="27"/>
        <w:szCs w:val="27"/>
        <w:shd w:val="clear" w:color="auto" w:fill="FFFFFF"/>
      </w:rPr>
      <w:t xml:space="preserve"> </w:t>
    </w:r>
    <w:r w:rsidRPr="00A25B76">
      <w:rPr>
        <w:b/>
        <w:bCs/>
        <w:i/>
        <w:iCs/>
      </w:rPr>
      <w:t> </w:t>
    </w:r>
    <w:proofErr w:type="spellStart"/>
    <w:r w:rsidRPr="00A25B76">
      <w:rPr>
        <w:b/>
        <w:bCs/>
        <w:i/>
        <w:iCs/>
      </w:rPr>
      <w:t>Investiții</w:t>
    </w:r>
    <w:proofErr w:type="spellEnd"/>
    <w:r w:rsidRPr="00A25B76">
      <w:rPr>
        <w:b/>
        <w:bCs/>
        <w:i/>
        <w:iCs/>
      </w:rPr>
      <w:t xml:space="preserve"> </w:t>
    </w:r>
    <w:proofErr w:type="spellStart"/>
    <w:r w:rsidRPr="00A25B76">
      <w:rPr>
        <w:b/>
        <w:bCs/>
        <w:i/>
        <w:iCs/>
      </w:rPr>
      <w:t>în</w:t>
    </w:r>
    <w:proofErr w:type="spellEnd"/>
    <w:r w:rsidRPr="00A25B76">
      <w:rPr>
        <w:b/>
        <w:bCs/>
        <w:i/>
        <w:iCs/>
      </w:rPr>
      <w:t xml:space="preserve"> </w:t>
    </w:r>
    <w:proofErr w:type="spellStart"/>
    <w:r w:rsidRPr="00A25B76">
      <w:rPr>
        <w:b/>
        <w:bCs/>
        <w:i/>
        <w:iCs/>
      </w:rPr>
      <w:t>procesarea</w:t>
    </w:r>
    <w:proofErr w:type="spellEnd"/>
    <w:r w:rsidRPr="00A25B76">
      <w:rPr>
        <w:b/>
        <w:bCs/>
        <w:i/>
        <w:iCs/>
      </w:rPr>
      <w:t xml:space="preserve">/ </w:t>
    </w:r>
    <w:proofErr w:type="spellStart"/>
    <w:r w:rsidRPr="00A25B76">
      <w:rPr>
        <w:b/>
        <w:bCs/>
        <w:i/>
        <w:iCs/>
      </w:rPr>
      <w:t>marketingul</w:t>
    </w:r>
    <w:proofErr w:type="spellEnd"/>
    <w:r w:rsidRPr="00A25B76">
      <w:rPr>
        <w:b/>
        <w:bCs/>
        <w:i/>
        <w:iCs/>
      </w:rPr>
      <w:t xml:space="preserve"> </w:t>
    </w:r>
    <w:proofErr w:type="spellStart"/>
    <w:r w:rsidRPr="00A25B76">
      <w:rPr>
        <w:b/>
        <w:bCs/>
        <w:i/>
        <w:iCs/>
      </w:rPr>
      <w:t>produselor</w:t>
    </w:r>
    <w:proofErr w:type="spellEnd"/>
    <w:r w:rsidRPr="00A25B76">
      <w:rPr>
        <w:b/>
        <w:bCs/>
        <w:i/>
        <w:iCs/>
      </w:rPr>
      <w:t xml:space="preserve"> din </w:t>
    </w:r>
    <w:proofErr w:type="spellStart"/>
    <w:r w:rsidRPr="00A25B76">
      <w:rPr>
        <w:b/>
        <w:bCs/>
        <w:i/>
        <w:iCs/>
      </w:rPr>
      <w:t>sectorul</w:t>
    </w:r>
    <w:proofErr w:type="spellEnd"/>
    <w:r w:rsidRPr="00A25B76">
      <w:rPr>
        <w:b/>
        <w:bCs/>
        <w:i/>
        <w:iCs/>
      </w:rPr>
      <w:t xml:space="preserve"> </w:t>
    </w:r>
    <w:proofErr w:type="spellStart"/>
    <w:r w:rsidRPr="00A25B76">
      <w:rPr>
        <w:b/>
        <w:bCs/>
        <w:i/>
        <w:iCs/>
      </w:rPr>
      <w:t>pomicol</w:t>
    </w:r>
    <w:proofErr w:type="spellEnd"/>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4CF2"/>
    <w:multiLevelType w:val="hybridMultilevel"/>
    <w:tmpl w:val="E4204D90"/>
    <w:lvl w:ilvl="0" w:tplc="5B76322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F07CB"/>
    <w:multiLevelType w:val="multilevel"/>
    <w:tmpl w:val="5A946FD4"/>
    <w:lvl w:ilvl="0">
      <w:start w:val="1"/>
      <w:numFmt w:val="decimal"/>
      <w:lvlText w:val="%1"/>
      <w:lvlJc w:val="left"/>
      <w:pPr>
        <w:ind w:left="570" w:hanging="570"/>
      </w:pPr>
      <w:rPr>
        <w:rFonts w:hint="default"/>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4D922B95"/>
    <w:multiLevelType w:val="hybridMultilevel"/>
    <w:tmpl w:val="40EE6F9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612F0DF9"/>
    <w:multiLevelType w:val="hybridMultilevel"/>
    <w:tmpl w:val="551A5ACE"/>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95D6411"/>
    <w:multiLevelType w:val="multilevel"/>
    <w:tmpl w:val="D47C53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AE"/>
    <w:rsid w:val="00011EE9"/>
    <w:rsid w:val="000242E7"/>
    <w:rsid w:val="000702AE"/>
    <w:rsid w:val="0011238B"/>
    <w:rsid w:val="00165616"/>
    <w:rsid w:val="001A1116"/>
    <w:rsid w:val="001E4DDE"/>
    <w:rsid w:val="002308D2"/>
    <w:rsid w:val="003120DA"/>
    <w:rsid w:val="0032488A"/>
    <w:rsid w:val="003642DB"/>
    <w:rsid w:val="00376843"/>
    <w:rsid w:val="00422F49"/>
    <w:rsid w:val="004802C8"/>
    <w:rsid w:val="004D2DDF"/>
    <w:rsid w:val="004E79C5"/>
    <w:rsid w:val="005015BC"/>
    <w:rsid w:val="00552640"/>
    <w:rsid w:val="0056295D"/>
    <w:rsid w:val="00571F4F"/>
    <w:rsid w:val="00594A2D"/>
    <w:rsid w:val="005A1DD5"/>
    <w:rsid w:val="005C50D3"/>
    <w:rsid w:val="006722EF"/>
    <w:rsid w:val="0068271E"/>
    <w:rsid w:val="006D3AD4"/>
    <w:rsid w:val="006F5979"/>
    <w:rsid w:val="007113CA"/>
    <w:rsid w:val="007245BA"/>
    <w:rsid w:val="0075695E"/>
    <w:rsid w:val="00773B1A"/>
    <w:rsid w:val="00781B88"/>
    <w:rsid w:val="007A3EEB"/>
    <w:rsid w:val="007E6340"/>
    <w:rsid w:val="00837BFF"/>
    <w:rsid w:val="00856812"/>
    <w:rsid w:val="00893819"/>
    <w:rsid w:val="00942C07"/>
    <w:rsid w:val="009D3B5A"/>
    <w:rsid w:val="009F2320"/>
    <w:rsid w:val="00A17564"/>
    <w:rsid w:val="00A25B76"/>
    <w:rsid w:val="00A33562"/>
    <w:rsid w:val="00A5293D"/>
    <w:rsid w:val="00A62128"/>
    <w:rsid w:val="00A86729"/>
    <w:rsid w:val="00AA2FF8"/>
    <w:rsid w:val="00AC3534"/>
    <w:rsid w:val="00AD6552"/>
    <w:rsid w:val="00B067D4"/>
    <w:rsid w:val="00B339F6"/>
    <w:rsid w:val="00B446F8"/>
    <w:rsid w:val="00B47B2B"/>
    <w:rsid w:val="00BB25E2"/>
    <w:rsid w:val="00BB6591"/>
    <w:rsid w:val="00C13A23"/>
    <w:rsid w:val="00C41199"/>
    <w:rsid w:val="00C4210E"/>
    <w:rsid w:val="00CC4BEA"/>
    <w:rsid w:val="00D90410"/>
    <w:rsid w:val="00DA4814"/>
    <w:rsid w:val="00E05C9A"/>
    <w:rsid w:val="00E61C83"/>
    <w:rsid w:val="00EC588C"/>
    <w:rsid w:val="00F253C4"/>
    <w:rsid w:val="00F519A6"/>
    <w:rsid w:val="00F732A4"/>
    <w:rsid w:val="00F80F2F"/>
    <w:rsid w:val="00FB4FA0"/>
    <w:rsid w:val="00FD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01D6-C68D-4563-A2BA-C764619A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E79C5"/>
    <w:rPr>
      <w:sz w:val="16"/>
      <w:szCs w:val="16"/>
    </w:rPr>
  </w:style>
  <w:style w:type="paragraph" w:styleId="CommentText">
    <w:name w:val="annotation text"/>
    <w:basedOn w:val="Normal"/>
    <w:link w:val="CommentTextChar"/>
    <w:uiPriority w:val="99"/>
    <w:rsid w:val="004E79C5"/>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4E79C5"/>
    <w:rPr>
      <w:rFonts w:ascii="Arial" w:eastAsia="Times New Roman" w:hAnsi="Arial" w:cs="Times New Roman"/>
      <w:sz w:val="20"/>
      <w:szCs w:val="20"/>
      <w:lang w:val="x-none"/>
    </w:rPr>
  </w:style>
  <w:style w:type="character" w:styleId="Hyperlink">
    <w:name w:val="Hyperlink"/>
    <w:basedOn w:val="DefaultParagraphFont"/>
    <w:uiPriority w:val="99"/>
    <w:unhideWhenUsed/>
    <w:rsid w:val="004E79C5"/>
    <w:rPr>
      <w:color w:val="0563C1" w:themeColor="hyperlink"/>
      <w:u w:val="single"/>
    </w:rPr>
  </w:style>
  <w:style w:type="paragraph" w:styleId="BalloonText">
    <w:name w:val="Balloon Text"/>
    <w:basedOn w:val="Normal"/>
    <w:link w:val="BalloonTextChar"/>
    <w:uiPriority w:val="99"/>
    <w:semiHidden/>
    <w:unhideWhenUsed/>
    <w:rsid w:val="004E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C5"/>
    <w:rPr>
      <w:rFonts w:ascii="Segoe UI" w:hAnsi="Segoe UI" w:cs="Segoe UI"/>
      <w:sz w:val="18"/>
      <w:szCs w:val="18"/>
    </w:rPr>
  </w:style>
  <w:style w:type="paragraph" w:styleId="Header">
    <w:name w:val="header"/>
    <w:basedOn w:val="Normal"/>
    <w:link w:val="HeaderChar"/>
    <w:uiPriority w:val="99"/>
    <w:unhideWhenUsed/>
    <w:rsid w:val="00A2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76"/>
  </w:style>
  <w:style w:type="paragraph" w:styleId="Footer">
    <w:name w:val="footer"/>
    <w:basedOn w:val="Normal"/>
    <w:link w:val="FooterChar"/>
    <w:uiPriority w:val="99"/>
    <w:unhideWhenUsed/>
    <w:rsid w:val="00A2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02B0-8CC3-4306-BEB6-2376CC1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Purcarea</dc:creator>
  <cp:keywords/>
  <dc:description/>
  <cp:lastModifiedBy>Alina Constantin</cp:lastModifiedBy>
  <cp:revision>7</cp:revision>
  <cp:lastPrinted>2021-07-12T10:55:00Z</cp:lastPrinted>
  <dcterms:created xsi:type="dcterms:W3CDTF">2021-07-08T12:58:00Z</dcterms:created>
  <dcterms:modified xsi:type="dcterms:W3CDTF">2021-07-13T11:51:00Z</dcterms:modified>
</cp:coreProperties>
</file>